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AA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firstLine="803" w:firstLineChars="200"/>
        <w:jc w:val="center"/>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40"/>
          <w:szCs w:val="40"/>
          <w:shd w:val="clear" w:fill="FFFFFF"/>
          <w14:textFill>
            <w14:solidFill>
              <w14:schemeClr w14:val="tx1"/>
            </w14:solidFill>
          </w14:textFill>
        </w:rPr>
        <w:t>宁城县</w:t>
      </w:r>
      <w:r>
        <w:rPr>
          <w:rFonts w:hint="eastAsia" w:ascii="宋体" w:hAnsi="宋体" w:eastAsia="宋体" w:cs="宋体"/>
          <w:b/>
          <w:bCs/>
          <w:color w:val="000000" w:themeColor="text1"/>
          <w:sz w:val="40"/>
          <w:szCs w:val="40"/>
          <w:shd w:val="clear" w:fill="FFFFFF"/>
          <w:lang w:eastAsia="zh-CN"/>
          <w14:textFill>
            <w14:solidFill>
              <w14:schemeClr w14:val="tx1"/>
            </w14:solidFill>
          </w14:textFill>
        </w:rPr>
        <w:t>汐子镇中心校废旧锅炉及废旧铝合金门出让</w:t>
      </w:r>
      <w:r>
        <w:rPr>
          <w:rFonts w:hint="eastAsia" w:ascii="宋体" w:hAnsi="宋体" w:eastAsia="宋体" w:cs="宋体"/>
          <w:b/>
          <w:bCs/>
          <w:color w:val="000000" w:themeColor="text1"/>
          <w:sz w:val="40"/>
          <w:szCs w:val="40"/>
          <w:shd w:val="clear" w:fill="FFFFFF"/>
          <w14:textFill>
            <w14:solidFill>
              <w14:schemeClr w14:val="tx1"/>
            </w14:solidFill>
          </w14:textFill>
        </w:rPr>
        <w:t>公告</w:t>
      </w:r>
    </w:p>
    <w:p w14:paraId="75056CD9">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宋体" w:hAnsi="宋体" w:eastAsia="宋体" w:cs="宋体"/>
          <w:b/>
          <w:bCs/>
          <w:color w:val="000000" w:themeColor="text1"/>
          <w:sz w:val="28"/>
          <w:szCs w:val="28"/>
          <w:shd w:val="clear" w:fill="FFFFFF"/>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项目编号：</w:t>
      </w:r>
      <w:r>
        <w:rPr>
          <w:rFonts w:hint="eastAsia" w:ascii="宋体" w:hAnsi="宋体" w:eastAsia="宋体" w:cs="宋体"/>
          <w:b/>
          <w:bCs/>
          <w:color w:val="000000" w:themeColor="text1"/>
          <w:kern w:val="0"/>
          <w:sz w:val="28"/>
          <w:szCs w:val="28"/>
          <w:shd w:val="clear" w:fill="FFFFFF"/>
          <w:lang w:val="en-US" w:eastAsia="zh-CN" w:bidi="ar"/>
          <w14:textFill>
            <w14:solidFill>
              <w14:schemeClr w14:val="tx1"/>
            </w14:solidFill>
          </w14:textFill>
        </w:rPr>
        <w:t>2025NCCQ008</w:t>
      </w:r>
    </w:p>
    <w:p w14:paraId="6DC5F5DB">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等线" w:hAnsi="等线" w:eastAsia="宋体" w:cs="等线"/>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宁城县公共资源交易中心受宁城县</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汐子镇中心校</w:t>
      </w:r>
      <w:r>
        <w:rPr>
          <w:rFonts w:hint="eastAsia" w:ascii="宋体" w:hAnsi="宋体" w:eastAsia="宋体" w:cs="宋体"/>
          <w:color w:val="000000" w:themeColor="text1"/>
          <w:sz w:val="28"/>
          <w:szCs w:val="28"/>
          <w:shd w:val="clear" w:fill="FFFFFF"/>
          <w14:textFill>
            <w14:solidFill>
              <w14:schemeClr w14:val="tx1"/>
            </w14:solidFill>
          </w14:textFill>
        </w:rPr>
        <w:t>委托，对</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废旧锅炉及废旧铝合金门</w:t>
      </w:r>
      <w:r>
        <w:rPr>
          <w:rFonts w:hint="eastAsia" w:ascii="宋体" w:hAnsi="宋体" w:eastAsia="宋体" w:cs="宋体"/>
          <w:color w:val="000000" w:themeColor="text1"/>
          <w:sz w:val="28"/>
          <w:szCs w:val="28"/>
          <w14:textFill>
            <w14:solidFill>
              <w14:schemeClr w14:val="tx1"/>
            </w14:solidFill>
          </w14:textFill>
        </w:rPr>
        <w:t>进行公开</w:t>
      </w:r>
      <w:r>
        <w:rPr>
          <w:rFonts w:hint="eastAsia" w:ascii="宋体" w:hAnsi="宋体" w:eastAsia="宋体" w:cs="宋体"/>
          <w:color w:val="000000" w:themeColor="text1"/>
          <w:sz w:val="28"/>
          <w:szCs w:val="28"/>
          <w:lang w:val="en-US" w:eastAsia="zh-CN"/>
          <w14:textFill>
            <w14:solidFill>
              <w14:schemeClr w14:val="tx1"/>
            </w14:solidFill>
          </w14:textFill>
        </w:rPr>
        <w:t>出让</w:t>
      </w:r>
      <w:r>
        <w:rPr>
          <w:rFonts w:hint="eastAsia" w:ascii="宋体" w:hAnsi="宋体" w:eastAsia="宋体" w:cs="宋体"/>
          <w:color w:val="000000" w:themeColor="text1"/>
          <w:sz w:val="28"/>
          <w:szCs w:val="28"/>
          <w:lang w:eastAsia="zh-CN"/>
          <w14:textFill>
            <w14:solidFill>
              <w14:schemeClr w14:val="tx1"/>
            </w14:solidFill>
          </w14:textFill>
        </w:rPr>
        <w:t>。</w:t>
      </w:r>
    </w:p>
    <w:p w14:paraId="31CDD3C6">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right="0" w:firstLine="560" w:firstLineChars="200"/>
        <w:jc w:val="left"/>
        <w:textAlignment w:val="auto"/>
        <w:rPr>
          <w:rFonts w:hint="eastAsia" w:ascii="宋体" w:hAnsi="宋体" w:eastAsia="宋体" w:cs="宋体"/>
          <w:b/>
          <w:bCs/>
          <w:color w:val="000000" w:themeColor="text1"/>
          <w:sz w:val="28"/>
          <w:szCs w:val="28"/>
          <w:shd w:val="clear" w:fill="FFFFFF"/>
          <w14:textFill>
            <w14:solidFill>
              <w14:schemeClr w14:val="tx1"/>
            </w14:solidFill>
          </w14:textFill>
        </w:rPr>
      </w:pPr>
      <w:r>
        <w:rPr>
          <w:rFonts w:hint="eastAsia" w:ascii="宋体" w:hAnsi="宋体" w:eastAsia="宋体" w:cs="宋体"/>
          <w:color w:val="000000" w:themeColor="text1"/>
          <w:sz w:val="28"/>
          <w:szCs w:val="28"/>
          <w:shd w:val="clear" w:fill="FFFFFF"/>
          <w:lang w:eastAsia="zh-CN"/>
          <w14:textFill>
            <w14:solidFill>
              <w14:schemeClr w14:val="tx1"/>
            </w14:solidFill>
          </w14:textFill>
        </w:rPr>
        <w:t>出让</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方</w:t>
      </w:r>
      <w:r>
        <w:rPr>
          <w:rFonts w:hint="eastAsia" w:ascii="宋体" w:hAnsi="宋体" w:eastAsia="宋体" w:cs="宋体"/>
          <w:color w:val="000000" w:themeColor="text1"/>
          <w:sz w:val="28"/>
          <w:szCs w:val="28"/>
          <w:shd w:val="clear" w:fill="FFFFFF"/>
          <w14:textFill>
            <w14:solidFill>
              <w14:schemeClr w14:val="tx1"/>
            </w14:solidFill>
          </w14:textFill>
        </w:rPr>
        <w:t>承诺本次</w:t>
      </w:r>
      <w:r>
        <w:rPr>
          <w:rFonts w:hint="eastAsia" w:ascii="宋体" w:hAnsi="宋体" w:eastAsia="宋体" w:cs="宋体"/>
          <w:color w:val="000000" w:themeColor="text1"/>
          <w:sz w:val="28"/>
          <w:szCs w:val="28"/>
          <w:shd w:val="clear" w:fill="FFFFFF"/>
          <w:lang w:eastAsia="zh-CN"/>
          <w14:textFill>
            <w14:solidFill>
              <w14:schemeClr w14:val="tx1"/>
            </w14:solidFill>
          </w14:textFill>
        </w:rPr>
        <w:t>出让</w:t>
      </w:r>
      <w:r>
        <w:rPr>
          <w:rFonts w:hint="eastAsia" w:ascii="宋体" w:hAnsi="宋体" w:eastAsia="宋体" w:cs="宋体"/>
          <w:color w:val="000000" w:themeColor="text1"/>
          <w:sz w:val="28"/>
          <w:szCs w:val="28"/>
          <w:shd w:val="clear" w:fill="FFFFFF"/>
          <w14:textFill>
            <w14:solidFill>
              <w14:schemeClr w14:val="tx1"/>
            </w14:solidFill>
          </w14:textFill>
        </w:rPr>
        <w:t>行为已履行了必要的审批程序，保证本公告的内容不存在任何重大遗漏、虚假陈述或严重误导，并对其内容的真实性、准确性和有效性负责。</w:t>
      </w:r>
    </w:p>
    <w:p w14:paraId="78E0FBF5">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2"/>
        <w:jc w:val="both"/>
        <w:textAlignment w:val="auto"/>
        <w:rPr>
          <w:rFonts w:ascii="等线" w:hAnsi="等线" w:eastAsia="等线" w:cs="等线"/>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一、</w:t>
      </w:r>
      <w:r>
        <w:rPr>
          <w:rFonts w:hint="eastAsia" w:ascii="宋体" w:hAnsi="宋体" w:eastAsia="宋体" w:cs="宋体"/>
          <w:b/>
          <w:bCs/>
          <w:color w:val="000000" w:themeColor="text1"/>
          <w:sz w:val="28"/>
          <w:szCs w:val="28"/>
          <w:shd w:val="clear" w:fill="FFFFFF"/>
          <w:lang w:eastAsia="zh-CN"/>
          <w14:textFill>
            <w14:solidFill>
              <w14:schemeClr w14:val="tx1"/>
            </w14:solidFill>
          </w14:textFill>
        </w:rPr>
        <w:t>出让</w:t>
      </w:r>
      <w:r>
        <w:rPr>
          <w:rFonts w:hint="eastAsia" w:ascii="宋体" w:hAnsi="宋体" w:eastAsia="宋体" w:cs="宋体"/>
          <w:b/>
          <w:bCs/>
          <w:color w:val="000000" w:themeColor="text1"/>
          <w:sz w:val="28"/>
          <w:szCs w:val="28"/>
          <w:shd w:val="clear" w:fill="FFFFFF"/>
          <w14:textFill>
            <w14:solidFill>
              <w14:schemeClr w14:val="tx1"/>
            </w14:solidFill>
          </w14:textFill>
        </w:rPr>
        <w:t>标的基本情况</w:t>
      </w:r>
    </w:p>
    <w:p w14:paraId="2D02F154">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80" w:lineRule="exact"/>
        <w:ind w:left="0" w:right="0" w:firstLine="560"/>
        <w:jc w:val="both"/>
        <w:textAlignment w:val="auto"/>
        <w:rPr>
          <w:rFonts w:ascii="等线" w:hAnsi="等线" w:eastAsia="等线" w:cs="等线"/>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出让方：</w:t>
      </w:r>
      <w:r>
        <w:rPr>
          <w:rFonts w:hint="eastAsia" w:ascii="宋体" w:hAnsi="宋体" w:eastAsia="宋体" w:cs="宋体"/>
          <w:color w:val="000000" w:themeColor="text1"/>
          <w:sz w:val="28"/>
          <w:szCs w:val="28"/>
          <w:shd w:val="clear" w:fill="FFFFFF"/>
          <w14:textFill>
            <w14:solidFill>
              <w14:schemeClr w14:val="tx1"/>
            </w14:solidFill>
          </w14:textFill>
        </w:rPr>
        <w:t>宁城县</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汐子镇中心校</w:t>
      </w:r>
    </w:p>
    <w:p w14:paraId="061F7401">
      <w:pPr>
        <w:pStyle w:val="3"/>
        <w:keepNext w:val="0"/>
        <w:keepLines w:val="0"/>
        <w:pageBreakBefore w:val="0"/>
        <w:widowControl/>
        <w:suppressLineNumbers w:val="0"/>
        <w:shd w:val="clear" w:fill="FFFFFF"/>
        <w:kinsoku/>
        <w:overflowPunct/>
        <w:topLinePunct w:val="0"/>
        <w:autoSpaceDE/>
        <w:autoSpaceDN/>
        <w:bidi w:val="0"/>
        <w:adjustRightInd/>
        <w:snapToGrid/>
        <w:spacing w:before="100" w:beforeAutospacing="0" w:after="0" w:afterAutospacing="0" w:line="580" w:lineRule="exact"/>
        <w:ind w:left="0" w:firstLine="560"/>
        <w:jc w:val="both"/>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统一社会信用代码：</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12150429460411046K</w:t>
      </w:r>
    </w:p>
    <w:p w14:paraId="1E59532E">
      <w:pPr>
        <w:pStyle w:val="3"/>
        <w:keepNext w:val="0"/>
        <w:keepLines w:val="0"/>
        <w:pageBreakBefore w:val="0"/>
        <w:widowControl/>
        <w:suppressLineNumbers w:val="0"/>
        <w:shd w:val="clear" w:fill="FFFFFF"/>
        <w:kinsoku/>
        <w:overflowPunct/>
        <w:topLinePunct w:val="0"/>
        <w:autoSpaceDE/>
        <w:autoSpaceDN/>
        <w:bidi w:val="0"/>
        <w:adjustRightInd/>
        <w:snapToGrid/>
        <w:spacing w:before="100" w:beforeAutospacing="0" w:after="0" w:afterAutospacing="0" w:line="580" w:lineRule="exact"/>
        <w:ind w:left="0" w:firstLine="560"/>
        <w:jc w:val="both"/>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法定代表人：</w:t>
      </w:r>
      <w:r>
        <w:rPr>
          <w:rFonts w:hint="eastAsia" w:ascii="Calibri" w:hAnsi="Calibri" w:eastAsia="宋体" w:cs="Calibri"/>
          <w:color w:val="000000" w:themeColor="text1"/>
          <w:sz w:val="28"/>
          <w:szCs w:val="28"/>
          <w:shd w:val="clear" w:fill="FFFFFF"/>
          <w:lang w:val="en-US" w:eastAsia="zh-CN"/>
          <w14:textFill>
            <w14:solidFill>
              <w14:schemeClr w14:val="tx1"/>
            </w14:solidFill>
          </w14:textFill>
        </w:rPr>
        <w:t>张明军</w:t>
      </w:r>
    </w:p>
    <w:p w14:paraId="5B9D1B0A">
      <w:pPr>
        <w:pStyle w:val="3"/>
        <w:keepNext w:val="0"/>
        <w:keepLines w:val="0"/>
        <w:pageBreakBefore w:val="0"/>
        <w:widowControl/>
        <w:suppressLineNumbers w:val="0"/>
        <w:shd w:val="clear" w:fill="FFFFFF"/>
        <w:kinsoku/>
        <w:overflowPunct/>
        <w:topLinePunct w:val="0"/>
        <w:autoSpaceDE/>
        <w:autoSpaceDN/>
        <w:bidi w:val="0"/>
        <w:adjustRightInd/>
        <w:snapToGrid/>
        <w:spacing w:before="100" w:beforeAutospacing="0" w:after="0" w:afterAutospacing="0" w:line="580" w:lineRule="exact"/>
        <w:ind w:left="0" w:firstLine="560"/>
        <w:jc w:val="both"/>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住所：</w:t>
      </w:r>
      <w:r>
        <w:rPr>
          <w:rFonts w:ascii="Calibri" w:hAnsi="Calibri" w:eastAsia="宋体" w:cs="Calibri"/>
          <w:color w:val="000000" w:themeColor="text1"/>
          <w:sz w:val="28"/>
          <w:szCs w:val="28"/>
          <w:shd w:val="clear" w:fill="FFFFFF"/>
          <w14:textFill>
            <w14:solidFill>
              <w14:schemeClr w14:val="tx1"/>
            </w14:solidFill>
          </w14:textFill>
        </w:rPr>
        <w:t> </w:t>
      </w:r>
      <w:r>
        <w:rPr>
          <w:rFonts w:hint="eastAsia" w:ascii="Calibri" w:hAnsi="Calibri" w:eastAsia="宋体" w:cs="Calibri"/>
          <w:color w:val="000000" w:themeColor="text1"/>
          <w:sz w:val="28"/>
          <w:szCs w:val="28"/>
          <w:shd w:val="clear" w:fill="FFFFFF"/>
          <w:lang w:val="en-US" w:eastAsia="zh-CN"/>
          <w14:textFill>
            <w14:solidFill>
              <w14:schemeClr w14:val="tx1"/>
            </w14:solidFill>
          </w14:textFill>
        </w:rPr>
        <w:t>宁城县汐子镇中心校</w:t>
      </w:r>
    </w:p>
    <w:tbl>
      <w:tblPr>
        <w:tblStyle w:val="4"/>
        <w:tblW w:w="1142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84"/>
        <w:gridCol w:w="1622"/>
        <w:gridCol w:w="1353"/>
        <w:gridCol w:w="1203"/>
        <w:gridCol w:w="822"/>
        <w:gridCol w:w="907"/>
        <w:gridCol w:w="1415"/>
        <w:gridCol w:w="2555"/>
        <w:gridCol w:w="863"/>
      </w:tblGrid>
      <w:tr w14:paraId="79EA30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30" w:hRule="atLeast"/>
          <w:jc w:val="center"/>
        </w:trPr>
        <w:tc>
          <w:tcPr>
            <w:tcW w:w="68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923947">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标的</w:t>
            </w:r>
            <w:r>
              <w:rPr>
                <w:rFonts w:hint="eastAsia" w:ascii="仿宋" w:hAnsi="仿宋" w:eastAsia="仿宋" w:cs="仿宋"/>
                <w:b/>
                <w:bCs/>
                <w:color w:val="000000" w:themeColor="text1"/>
                <w:sz w:val="24"/>
                <w:szCs w:val="24"/>
                <w:lang w:val="en-US" w:eastAsia="zh-CN"/>
                <w14:textFill>
                  <w14:solidFill>
                    <w14:schemeClr w14:val="tx1"/>
                  </w14:solidFill>
                </w14:textFill>
              </w:rPr>
              <w:t>编号</w:t>
            </w:r>
          </w:p>
        </w:tc>
        <w:tc>
          <w:tcPr>
            <w:tcW w:w="162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167B61">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出让</w:t>
            </w:r>
            <w:r>
              <w:rPr>
                <w:rFonts w:hint="eastAsia" w:ascii="仿宋" w:hAnsi="仿宋" w:eastAsia="仿宋" w:cs="仿宋"/>
                <w:b/>
                <w:bCs/>
                <w:color w:val="000000" w:themeColor="text1"/>
                <w:sz w:val="24"/>
                <w:szCs w:val="24"/>
                <w14:textFill>
                  <w14:solidFill>
                    <w14:schemeClr w14:val="tx1"/>
                  </w14:solidFill>
                </w14:textFill>
              </w:rPr>
              <w:t>标的名称</w:t>
            </w:r>
          </w:p>
        </w:tc>
        <w:tc>
          <w:tcPr>
            <w:tcW w:w="135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2687C7">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资产类别</w:t>
            </w:r>
          </w:p>
        </w:tc>
        <w:tc>
          <w:tcPr>
            <w:tcW w:w="120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97B743">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default"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结构规格</w:t>
            </w:r>
          </w:p>
        </w:tc>
        <w:tc>
          <w:tcPr>
            <w:tcW w:w="82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F3C7AA">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数量</w:t>
            </w:r>
          </w:p>
        </w:tc>
        <w:tc>
          <w:tcPr>
            <w:tcW w:w="9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05925E">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单位</w:t>
            </w:r>
          </w:p>
        </w:tc>
        <w:tc>
          <w:tcPr>
            <w:tcW w:w="141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F333DB">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default"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评估价值</w:t>
            </w:r>
            <w:bookmarkStart w:id="0" w:name="_GoBack"/>
            <w:bookmarkEnd w:id="0"/>
          </w:p>
        </w:tc>
        <w:tc>
          <w:tcPr>
            <w:tcW w:w="255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97FF8C">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14:textFill>
                  <w14:solidFill>
                    <w14:schemeClr w14:val="tx1"/>
                  </w14:solidFill>
                </w14:textFill>
              </w:rPr>
            </w:pPr>
            <w:r>
              <w:rPr>
                <w:rFonts w:ascii="仿宋" w:hAnsi="仿宋" w:eastAsia="仿宋" w:cs="仿宋"/>
                <w:b/>
                <w:bCs/>
                <w:color w:val="000000" w:themeColor="text1"/>
                <w:sz w:val="24"/>
                <w:szCs w:val="24"/>
                <w14:textFill>
                  <w14:solidFill>
                    <w14:schemeClr w14:val="tx1"/>
                  </w14:solidFill>
                </w14:textFill>
              </w:rPr>
              <w:t>竟</w:t>
            </w:r>
            <w:r>
              <w:rPr>
                <w:rFonts w:hint="eastAsia" w:ascii="仿宋" w:hAnsi="仿宋" w:eastAsia="仿宋" w:cs="仿宋"/>
                <w:b/>
                <w:bCs/>
                <w:color w:val="000000" w:themeColor="text1"/>
                <w:sz w:val="24"/>
                <w:szCs w:val="24"/>
                <w:lang w:val="en-US" w:eastAsia="zh-CN"/>
                <w14:textFill>
                  <w14:solidFill>
                    <w14:schemeClr w14:val="tx1"/>
                  </w14:solidFill>
                </w14:textFill>
              </w:rPr>
              <w:t>拍</w:t>
            </w:r>
            <w:r>
              <w:rPr>
                <w:rFonts w:ascii="仿宋" w:hAnsi="仿宋" w:eastAsia="仿宋" w:cs="仿宋"/>
                <w:b/>
                <w:bCs/>
                <w:color w:val="000000" w:themeColor="text1"/>
                <w:sz w:val="24"/>
                <w:szCs w:val="24"/>
                <w14:textFill>
                  <w14:solidFill>
                    <w14:schemeClr w14:val="tx1"/>
                  </w14:solidFill>
                </w14:textFill>
              </w:rPr>
              <w:t>保证金（元</w:t>
            </w:r>
            <w:r>
              <w:rPr>
                <w:rFonts w:hint="eastAsia" w:ascii="仿宋" w:hAnsi="仿宋" w:eastAsia="仿宋" w:cs="仿宋"/>
                <w:b/>
                <w:bCs/>
                <w:color w:val="000000" w:themeColor="text1"/>
                <w:sz w:val="24"/>
                <w:szCs w:val="24"/>
                <w14:textFill>
                  <w14:solidFill>
                    <w14:schemeClr w14:val="tx1"/>
                  </w14:solidFill>
                </w14:textFill>
              </w:rPr>
              <w:t>）</w:t>
            </w:r>
          </w:p>
        </w:tc>
        <w:tc>
          <w:tcPr>
            <w:tcW w:w="8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931A25">
            <w:pPr>
              <w:pStyle w:val="3"/>
              <w:keepNext w:val="0"/>
              <w:keepLines w:val="0"/>
              <w:pageBreakBefore w:val="0"/>
              <w:widowControl/>
              <w:suppressLineNumbers w:val="0"/>
              <w:kinsoku/>
              <w:wordWrap w:val="0"/>
              <w:overflowPunct/>
              <w:topLinePunct w:val="0"/>
              <w:autoSpaceDE/>
              <w:autoSpaceDN/>
              <w:bidi w:val="0"/>
              <w:adjustRightInd/>
              <w:snapToGrid/>
              <w:spacing w:before="100" w:beforeAutospacing="0" w:after="100" w:afterAutospacing="0" w:line="580" w:lineRule="exact"/>
              <w:jc w:val="center"/>
              <w:textAlignment w:val="auto"/>
              <w:rPr>
                <w:rFonts w:hint="eastAsia" w:ascii="仿宋" w:hAnsi="仿宋" w:eastAsia="仿宋" w:cs="仿宋"/>
                <w:b/>
                <w:bCs/>
                <w:color w:val="000000" w:themeColor="text1"/>
                <w:sz w:val="24"/>
                <w:szCs w:val="24"/>
                <w14:textFill>
                  <w14:solidFill>
                    <w14:schemeClr w14:val="tx1"/>
                  </w14:solidFill>
                </w14:textFill>
              </w:rPr>
            </w:pPr>
            <w:r>
              <w:rPr>
                <w:rFonts w:ascii="仿宋" w:hAnsi="仿宋" w:eastAsia="仿宋" w:cs="仿宋"/>
                <w:b/>
                <w:bCs/>
                <w:color w:val="000000" w:themeColor="text1"/>
                <w:sz w:val="24"/>
                <w:szCs w:val="24"/>
                <w14:textFill>
                  <w14:solidFill>
                    <w14:schemeClr w14:val="tx1"/>
                  </w14:solidFill>
                </w14:textFill>
              </w:rPr>
              <w:t>竞价步长（元）</w:t>
            </w:r>
          </w:p>
        </w:tc>
      </w:tr>
      <w:tr w14:paraId="1F7B62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81" w:hRule="atLeast"/>
          <w:jc w:val="center"/>
        </w:trPr>
        <w:tc>
          <w:tcPr>
            <w:tcW w:w="684"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1332A0CC">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p>
        </w:tc>
        <w:tc>
          <w:tcPr>
            <w:tcW w:w="1622"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64EF929">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取暖锅炉1</w:t>
            </w:r>
          </w:p>
        </w:tc>
        <w:tc>
          <w:tcPr>
            <w:tcW w:w="1353"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237D01A7">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cs="宋体"/>
                <w:color w:val="000000" w:themeColor="text1"/>
                <w:kern w:val="0"/>
                <w:sz w:val="28"/>
                <w:szCs w:val="28"/>
                <w:shd w:val="clear" w:fill="FFFFFF"/>
                <w:lang w:val="en-US" w:eastAsia="zh-CN" w:bidi="ar"/>
                <w14:textFill>
                  <w14:solidFill>
                    <w14:schemeClr w14:val="tx1"/>
                  </w14:solidFill>
                </w14:textFill>
              </w:rPr>
              <w:t>民用锅炉</w:t>
            </w:r>
          </w:p>
        </w:tc>
        <w:tc>
          <w:tcPr>
            <w:tcW w:w="1203"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D33756A">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default" w:cs="宋体"/>
                <w:color w:val="000000" w:themeColor="text1"/>
                <w:kern w:val="0"/>
                <w:sz w:val="28"/>
                <w:szCs w:val="28"/>
                <w:shd w:val="clear" w:fill="FFFFFF"/>
                <w:lang w:val="en-US" w:eastAsia="zh-CN" w:bidi="ar"/>
                <w14:textFill>
                  <w14:solidFill>
                    <w14:schemeClr w14:val="tx1"/>
                  </w14:solidFill>
                </w14:textFill>
              </w:rPr>
            </w:pPr>
            <w:r>
              <w:rPr>
                <w:rFonts w:hint="eastAsia" w:cs="宋体"/>
                <w:color w:val="000000" w:themeColor="text1"/>
                <w:kern w:val="0"/>
                <w:sz w:val="28"/>
                <w:szCs w:val="28"/>
                <w:shd w:val="clear" w:fill="FFFFFF"/>
                <w:lang w:val="en-US" w:eastAsia="zh-CN" w:bidi="ar"/>
                <w14:textFill>
                  <w14:solidFill>
                    <w14:schemeClr w14:val="tx1"/>
                  </w14:solidFill>
                </w14:textFill>
              </w:rPr>
              <w:t>瑞炬方形数控锅炉</w:t>
            </w:r>
          </w:p>
        </w:tc>
        <w:tc>
          <w:tcPr>
            <w:tcW w:w="822"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6A658DC">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w:t>
            </w:r>
          </w:p>
        </w:tc>
        <w:tc>
          <w:tcPr>
            <w:tcW w:w="907"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4049A18">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台</w:t>
            </w:r>
          </w:p>
        </w:tc>
        <w:tc>
          <w:tcPr>
            <w:tcW w:w="141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638A385">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6100</w:t>
            </w:r>
          </w:p>
        </w:tc>
        <w:tc>
          <w:tcPr>
            <w:tcW w:w="2555"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14:paraId="6BFDB58D">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2000.00</w:t>
            </w:r>
          </w:p>
        </w:tc>
        <w:tc>
          <w:tcPr>
            <w:tcW w:w="863"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14:paraId="0E146797">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200</w:t>
            </w:r>
          </w:p>
        </w:tc>
      </w:tr>
      <w:tr w14:paraId="1FBBDC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81" w:hRule="atLeast"/>
          <w:jc w:val="center"/>
        </w:trPr>
        <w:tc>
          <w:tcPr>
            <w:tcW w:w="684"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14:paraId="294BC7CC">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w:t>
            </w:r>
          </w:p>
        </w:tc>
        <w:tc>
          <w:tcPr>
            <w:tcW w:w="1622"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1367A7DB">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取暖锅炉2</w:t>
            </w:r>
          </w:p>
        </w:tc>
        <w:tc>
          <w:tcPr>
            <w:tcW w:w="1353"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6F59BAEE">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default" w:cs="宋体"/>
                <w:color w:val="000000" w:themeColor="text1"/>
                <w:kern w:val="0"/>
                <w:sz w:val="28"/>
                <w:szCs w:val="28"/>
                <w:shd w:val="clear" w:fill="FFFFFF"/>
                <w:lang w:val="en-US" w:eastAsia="zh-CN" w:bidi="ar"/>
                <w14:textFill>
                  <w14:solidFill>
                    <w14:schemeClr w14:val="tx1"/>
                  </w14:solidFill>
                </w14:textFill>
              </w:rPr>
            </w:pPr>
            <w:r>
              <w:rPr>
                <w:rFonts w:hint="eastAsia" w:cs="宋体"/>
                <w:color w:val="000000" w:themeColor="text1"/>
                <w:kern w:val="0"/>
                <w:sz w:val="28"/>
                <w:szCs w:val="28"/>
                <w:shd w:val="clear" w:fill="FFFFFF"/>
                <w:lang w:val="en-US" w:eastAsia="zh-CN" w:bidi="ar"/>
                <w14:textFill>
                  <w14:solidFill>
                    <w14:schemeClr w14:val="tx1"/>
                  </w14:solidFill>
                </w14:textFill>
              </w:rPr>
              <w:t>民用锅炉</w:t>
            </w:r>
          </w:p>
        </w:tc>
        <w:tc>
          <w:tcPr>
            <w:tcW w:w="1203"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06ED7347">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default" w:cs="宋体"/>
                <w:color w:val="000000" w:themeColor="text1"/>
                <w:kern w:val="0"/>
                <w:sz w:val="28"/>
                <w:szCs w:val="28"/>
                <w:shd w:val="clear" w:fill="FFFFFF"/>
                <w:lang w:val="en-US" w:eastAsia="zh-CN" w:bidi="ar"/>
                <w14:textFill>
                  <w14:solidFill>
                    <w14:schemeClr w14:val="tx1"/>
                  </w14:solidFill>
                </w14:textFill>
              </w:rPr>
            </w:pPr>
            <w:r>
              <w:rPr>
                <w:rFonts w:hint="eastAsia" w:cs="宋体"/>
                <w:color w:val="000000" w:themeColor="text1"/>
                <w:kern w:val="0"/>
                <w:sz w:val="28"/>
                <w:szCs w:val="28"/>
                <w:shd w:val="clear" w:fill="FFFFFF"/>
                <w:lang w:val="en-US" w:eastAsia="zh-CN" w:bidi="ar"/>
                <w14:textFill>
                  <w14:solidFill>
                    <w14:schemeClr w14:val="tx1"/>
                  </w14:solidFill>
                </w14:textFill>
              </w:rPr>
              <w:t>瑞炬方形数控锅炉</w:t>
            </w:r>
          </w:p>
        </w:tc>
        <w:tc>
          <w:tcPr>
            <w:tcW w:w="822"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1237731">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w:t>
            </w:r>
          </w:p>
        </w:tc>
        <w:tc>
          <w:tcPr>
            <w:tcW w:w="907"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4018F059">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台</w:t>
            </w:r>
          </w:p>
        </w:tc>
        <w:tc>
          <w:tcPr>
            <w:tcW w:w="1415" w:type="dxa"/>
            <w:tcBorders>
              <w:top w:val="nil"/>
              <w:left w:val="nil"/>
              <w:bottom w:val="nil"/>
              <w:right w:val="single" w:color="auto" w:sz="8" w:space="0"/>
            </w:tcBorders>
            <w:shd w:val="clear" w:color="auto" w:fill="auto"/>
            <w:tcMar>
              <w:top w:w="0" w:type="dxa"/>
              <w:left w:w="108" w:type="dxa"/>
              <w:bottom w:w="0" w:type="dxa"/>
              <w:right w:w="108" w:type="dxa"/>
            </w:tcMar>
            <w:vAlign w:val="center"/>
          </w:tcPr>
          <w:p w14:paraId="5E8EE478">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6100</w:t>
            </w:r>
          </w:p>
        </w:tc>
        <w:tc>
          <w:tcPr>
            <w:tcW w:w="2555" w:type="dxa"/>
            <w:vMerge w:val="continue"/>
            <w:tcBorders>
              <w:left w:val="nil"/>
              <w:right w:val="single" w:color="auto" w:sz="8" w:space="0"/>
            </w:tcBorders>
            <w:shd w:val="clear" w:color="auto" w:fill="auto"/>
            <w:tcMar>
              <w:top w:w="0" w:type="dxa"/>
              <w:left w:w="108" w:type="dxa"/>
              <w:bottom w:w="0" w:type="dxa"/>
              <w:right w:w="108" w:type="dxa"/>
            </w:tcMar>
            <w:vAlign w:val="center"/>
          </w:tcPr>
          <w:p w14:paraId="73709F34">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p>
        </w:tc>
        <w:tc>
          <w:tcPr>
            <w:tcW w:w="863" w:type="dxa"/>
            <w:vMerge w:val="continue"/>
            <w:tcBorders>
              <w:left w:val="nil"/>
              <w:right w:val="single" w:color="auto" w:sz="8" w:space="0"/>
            </w:tcBorders>
            <w:shd w:val="clear" w:color="auto" w:fill="auto"/>
            <w:tcMar>
              <w:top w:w="0" w:type="dxa"/>
              <w:left w:w="108" w:type="dxa"/>
              <w:bottom w:w="0" w:type="dxa"/>
              <w:right w:w="108" w:type="dxa"/>
            </w:tcMar>
            <w:vAlign w:val="center"/>
          </w:tcPr>
          <w:p w14:paraId="43059F8E">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p>
        </w:tc>
      </w:tr>
      <w:tr w14:paraId="19D01A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81" w:hRule="atLeast"/>
          <w:jc w:val="center"/>
        </w:trPr>
        <w:tc>
          <w:tcPr>
            <w:tcW w:w="68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9909C">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p>
        </w:tc>
        <w:tc>
          <w:tcPr>
            <w:tcW w:w="16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057FFF">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废旧门</w:t>
            </w:r>
          </w:p>
        </w:tc>
        <w:tc>
          <w:tcPr>
            <w:tcW w:w="13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188059">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default" w:cs="宋体"/>
                <w:color w:val="000000" w:themeColor="text1"/>
                <w:kern w:val="0"/>
                <w:sz w:val="28"/>
                <w:szCs w:val="28"/>
                <w:shd w:val="clear" w:fill="FFFFFF"/>
                <w:lang w:val="en-US" w:eastAsia="zh-CN" w:bidi="ar"/>
                <w14:textFill>
                  <w14:solidFill>
                    <w14:schemeClr w14:val="tx1"/>
                  </w14:solidFill>
                </w14:textFill>
              </w:rPr>
            </w:pPr>
            <w:r>
              <w:rPr>
                <w:rFonts w:hint="eastAsia" w:cs="宋体"/>
                <w:color w:val="000000" w:themeColor="text1"/>
                <w:kern w:val="0"/>
                <w:sz w:val="28"/>
                <w:szCs w:val="28"/>
                <w:shd w:val="clear" w:fill="FFFFFF"/>
                <w:lang w:val="en-US" w:eastAsia="zh-CN" w:bidi="ar"/>
                <w14:textFill>
                  <w14:solidFill>
                    <w14:schemeClr w14:val="tx1"/>
                  </w14:solidFill>
                </w14:textFill>
              </w:rPr>
              <w:t>教室铝合金门</w:t>
            </w:r>
          </w:p>
        </w:tc>
        <w:tc>
          <w:tcPr>
            <w:tcW w:w="120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BFBEC7">
            <w:pPr>
              <w:pStyle w:val="2"/>
              <w:keepNext w:val="0"/>
              <w:keepLines w:val="0"/>
              <w:pageBreakBefore w:val="0"/>
              <w:kinsoku/>
              <w:overflowPunct/>
              <w:topLinePunct w:val="0"/>
              <w:autoSpaceDE/>
              <w:autoSpaceDN/>
              <w:bidi w:val="0"/>
              <w:adjustRightInd/>
              <w:snapToGrid/>
              <w:spacing w:before="240" w:line="580" w:lineRule="exact"/>
              <w:ind w:right="290"/>
              <w:jc w:val="center"/>
              <w:textAlignment w:val="auto"/>
              <w:rPr>
                <w:rFonts w:hint="eastAsia" w:cs="宋体"/>
                <w:color w:val="000000" w:themeColor="text1"/>
                <w:kern w:val="0"/>
                <w:sz w:val="28"/>
                <w:szCs w:val="28"/>
                <w:shd w:val="clear" w:fill="FFFFFF"/>
                <w:lang w:val="en-US" w:eastAsia="zh-CN" w:bidi="ar"/>
                <w14:textFill>
                  <w14:solidFill>
                    <w14:schemeClr w14:val="tx1"/>
                  </w14:solidFill>
                </w14:textFill>
              </w:rPr>
            </w:pPr>
          </w:p>
        </w:tc>
        <w:tc>
          <w:tcPr>
            <w:tcW w:w="8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7E63B7">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36</w:t>
            </w:r>
          </w:p>
        </w:tc>
        <w:tc>
          <w:tcPr>
            <w:tcW w:w="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32A2F0">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套</w:t>
            </w:r>
          </w:p>
        </w:tc>
        <w:tc>
          <w:tcPr>
            <w:tcW w:w="14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DBA09E">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lang w:val="en-US" w:eastAsia="zh-CN"/>
                <w14:textFill>
                  <w14:solidFill>
                    <w14:schemeClr w14:val="tx1"/>
                  </w14:solidFill>
                </w14:textFill>
              </w:rPr>
              <w:t>2880</w:t>
            </w:r>
          </w:p>
        </w:tc>
        <w:tc>
          <w:tcPr>
            <w:tcW w:w="2555"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D551E8">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p>
        </w:tc>
        <w:tc>
          <w:tcPr>
            <w:tcW w:w="863"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530DBD">
            <w:pPr>
              <w:pStyle w:val="3"/>
              <w:keepNext w:val="0"/>
              <w:keepLines w:val="0"/>
              <w:pageBreakBefore w:val="0"/>
              <w:widowControl/>
              <w:suppressLineNumbers w:val="0"/>
              <w:kinsoku/>
              <w:wordWrap w:val="0"/>
              <w:overflowPunct/>
              <w:topLinePunct w:val="0"/>
              <w:autoSpaceDE/>
              <w:autoSpaceDN/>
              <w:bidi w:val="0"/>
              <w:adjustRightInd/>
              <w:snapToGrid/>
              <w:spacing w:before="156" w:beforeAutospacing="0" w:after="156" w:afterAutospacing="0" w:line="580" w:lineRule="exact"/>
              <w:jc w:val="center"/>
              <w:textAlignment w:val="auto"/>
              <w:rPr>
                <w:rFonts w:hint="eastAsia" w:ascii="宋体" w:hAnsi="宋体" w:eastAsia="宋体" w:cs="宋体"/>
                <w:color w:val="000000" w:themeColor="text1"/>
                <w:sz w:val="28"/>
                <w:szCs w:val="28"/>
                <w:shd w:val="clear" w:fill="FFFFFF"/>
                <w:lang w:val="en-US" w:eastAsia="zh-CN"/>
                <w14:textFill>
                  <w14:solidFill>
                    <w14:schemeClr w14:val="tx1"/>
                  </w14:solidFill>
                </w14:textFill>
              </w:rPr>
            </w:pPr>
          </w:p>
        </w:tc>
      </w:tr>
    </w:tbl>
    <w:p w14:paraId="6C4BC5D5">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420" w:firstLineChars="200"/>
        <w:jc w:val="left"/>
        <w:textAlignment w:val="auto"/>
        <w:rPr>
          <w:rFonts w:hint="default" w:ascii="Calibri" w:hAnsi="Calibri" w:cs="Calibri"/>
          <w:color w:val="000000" w:themeColor="text1"/>
          <w:sz w:val="21"/>
          <w:szCs w:val="21"/>
          <w14:textFill>
            <w14:solidFill>
              <w14:schemeClr w14:val="tx1"/>
            </w14:solidFill>
          </w14:textFill>
        </w:rPr>
      </w:pPr>
      <w:r>
        <w:rPr>
          <w:rFonts w:hint="default" w:ascii="Calibri" w:hAnsi="Calibri" w:eastAsia="微软雅黑" w:cs="Calibri"/>
          <w:color w:val="000000" w:themeColor="text1"/>
          <w:sz w:val="21"/>
          <w:szCs w:val="21"/>
          <w:shd w:val="clear" w:fill="FFFFFF"/>
          <w14:textFill>
            <w14:solidFill>
              <w14:schemeClr w14:val="tx1"/>
            </w14:solidFill>
          </w14:textFill>
        </w:rPr>
        <w:t> </w:t>
      </w:r>
      <w:r>
        <w:rPr>
          <w:rFonts w:hint="eastAsia" w:ascii="宋体" w:hAnsi="宋体" w:eastAsia="宋体" w:cs="宋体"/>
          <w:b/>
          <w:bCs/>
          <w:color w:val="000000" w:themeColor="text1"/>
          <w:sz w:val="28"/>
          <w:szCs w:val="28"/>
          <w:shd w:val="clear" w:fill="FFFFFF"/>
          <w14:textFill>
            <w14:solidFill>
              <w14:schemeClr w14:val="tx1"/>
            </w14:solidFill>
          </w14:textFill>
        </w:rPr>
        <w:t>二、产权</w:t>
      </w:r>
      <w:r>
        <w:rPr>
          <w:rFonts w:hint="eastAsia" w:ascii="宋体" w:hAnsi="宋体" w:eastAsia="宋体" w:cs="宋体"/>
          <w:b/>
          <w:bCs/>
          <w:color w:val="000000" w:themeColor="text1"/>
          <w:sz w:val="28"/>
          <w:szCs w:val="28"/>
          <w:shd w:val="clear" w:fill="FFFFFF"/>
          <w:lang w:val="en-US" w:eastAsia="zh-CN"/>
          <w14:textFill>
            <w14:solidFill>
              <w14:schemeClr w14:val="tx1"/>
            </w14:solidFill>
          </w14:textFill>
        </w:rPr>
        <w:t>出让</w:t>
      </w:r>
      <w:r>
        <w:rPr>
          <w:rFonts w:hint="eastAsia" w:ascii="宋体" w:hAnsi="宋体" w:eastAsia="宋体" w:cs="宋体"/>
          <w:b/>
          <w:bCs/>
          <w:color w:val="000000" w:themeColor="text1"/>
          <w:sz w:val="28"/>
          <w:szCs w:val="28"/>
          <w:shd w:val="clear" w:fill="FFFFFF"/>
          <w14:textFill>
            <w14:solidFill>
              <w14:schemeClr w14:val="tx1"/>
            </w14:solidFill>
          </w14:textFill>
        </w:rPr>
        <w:t>行为的批准、资产评估及备案情况</w:t>
      </w:r>
    </w:p>
    <w:p w14:paraId="187F0265">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上述资产</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出让</w:t>
      </w:r>
      <w:r>
        <w:rPr>
          <w:rFonts w:hint="eastAsia" w:ascii="宋体" w:hAnsi="宋体" w:eastAsia="宋体" w:cs="宋体"/>
          <w:color w:val="000000" w:themeColor="text1"/>
          <w:sz w:val="28"/>
          <w:szCs w:val="28"/>
          <w:shd w:val="clear" w:fill="FFFFFF"/>
          <w14:textFill>
            <w14:solidFill>
              <w14:schemeClr w14:val="tx1"/>
            </w14:solidFill>
          </w14:textFill>
        </w:rPr>
        <w:t>履行宁城县</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汐子镇中心校</w:t>
      </w:r>
      <w:r>
        <w:rPr>
          <w:rFonts w:hint="eastAsia" w:ascii="宋体" w:hAnsi="宋体" w:eastAsia="宋体" w:cs="宋体"/>
          <w:color w:val="000000" w:themeColor="text1"/>
          <w:sz w:val="28"/>
          <w:szCs w:val="28"/>
          <w:shd w:val="clear" w:fill="FFFFFF"/>
          <w14:textFill>
            <w14:solidFill>
              <w14:schemeClr w14:val="tx1"/>
            </w14:solidFill>
          </w14:textFill>
        </w:rPr>
        <w:t>批准。</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内蒙古中荟诚资产评估所</w:t>
      </w:r>
      <w:r>
        <w:rPr>
          <w:rFonts w:hint="eastAsia" w:ascii="宋体" w:hAnsi="宋体" w:eastAsia="宋体" w:cs="宋体"/>
          <w:color w:val="000000" w:themeColor="text1"/>
          <w:sz w:val="28"/>
          <w:szCs w:val="28"/>
          <w:shd w:val="clear" w:fill="FFFFFF"/>
          <w14:textFill>
            <w14:solidFill>
              <w14:schemeClr w14:val="tx1"/>
            </w14:solidFill>
          </w14:textFill>
        </w:rPr>
        <w:t>出具了</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宁城县汐子镇中心校所属的</w:t>
      </w:r>
      <w:r>
        <w:rPr>
          <w:rFonts w:hint="eastAsia" w:ascii="宋体" w:hAnsi="宋体" w:eastAsia="宋体" w:cs="宋体"/>
          <w:color w:val="000000" w:themeColor="text1"/>
          <w:sz w:val="28"/>
          <w:szCs w:val="28"/>
          <w:shd w:val="clear" w:fill="FFFFFF"/>
          <w14:textFill>
            <w14:solidFill>
              <w14:schemeClr w14:val="tx1"/>
            </w14:solidFill>
          </w14:textFill>
        </w:rPr>
        <w:t>《</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汐子镇中心校废旧锅炉及废旧铝合金门</w:t>
      </w:r>
      <w:r>
        <w:rPr>
          <w:rFonts w:hint="eastAsia" w:ascii="宋体" w:hAnsi="宋体" w:eastAsia="宋体" w:cs="宋体"/>
          <w:color w:val="000000" w:themeColor="text1"/>
          <w:sz w:val="28"/>
          <w:szCs w:val="28"/>
          <w:shd w:val="clear" w:fill="FFFFFF"/>
          <w14:textFill>
            <w14:solidFill>
              <w14:schemeClr w14:val="tx1"/>
            </w14:solidFill>
          </w14:textFill>
        </w:rPr>
        <w:t>》即：</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内中荟诚评报字</w:t>
      </w:r>
      <w:r>
        <w:rPr>
          <w:rFonts w:hint="eastAsia" w:ascii="宋体" w:hAnsi="宋体" w:eastAsia="宋体" w:cs="宋体"/>
          <w:color w:val="000000" w:themeColor="text1"/>
          <w:sz w:val="28"/>
          <w:szCs w:val="28"/>
          <w:shd w:val="clear" w:fill="FFFFFF"/>
          <w14:textFill>
            <w14:solidFill>
              <w14:schemeClr w14:val="tx1"/>
            </w14:solidFill>
          </w14:textFill>
        </w:rPr>
        <w:t>{202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}第</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023</w:t>
      </w:r>
      <w:r>
        <w:rPr>
          <w:rFonts w:hint="eastAsia" w:ascii="宋体" w:hAnsi="宋体" w:eastAsia="宋体" w:cs="宋体"/>
          <w:color w:val="000000" w:themeColor="text1"/>
          <w:sz w:val="28"/>
          <w:szCs w:val="28"/>
          <w:shd w:val="clear" w:fill="FFFFFF"/>
          <w14:textFill>
            <w14:solidFill>
              <w14:schemeClr w14:val="tx1"/>
            </w14:solidFill>
          </w14:textFill>
        </w:rPr>
        <w:t>号，评估报告出具日期202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10</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30</w:t>
      </w:r>
      <w:r>
        <w:rPr>
          <w:rFonts w:hint="eastAsia" w:ascii="宋体" w:hAnsi="宋体" w:eastAsia="宋体" w:cs="宋体"/>
          <w:color w:val="000000" w:themeColor="text1"/>
          <w:sz w:val="28"/>
          <w:szCs w:val="28"/>
          <w:shd w:val="clear" w:fill="FFFFFF"/>
          <w14:textFill>
            <w14:solidFill>
              <w14:schemeClr w14:val="tx1"/>
            </w14:solidFill>
          </w14:textFill>
        </w:rPr>
        <w:t>日。</w:t>
      </w:r>
    </w:p>
    <w:p w14:paraId="501D1C4E">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2"/>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三、意向</w:t>
      </w:r>
      <w:r>
        <w:rPr>
          <w:rFonts w:hint="eastAsia" w:ascii="宋体" w:hAnsi="宋体" w:eastAsia="宋体" w:cs="宋体"/>
          <w:b/>
          <w:bCs/>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b/>
          <w:bCs/>
          <w:color w:val="000000" w:themeColor="text1"/>
          <w:sz w:val="28"/>
          <w:szCs w:val="28"/>
          <w:shd w:val="clear" w:fill="FFFFFF"/>
          <w14:textFill>
            <w14:solidFill>
              <w14:schemeClr w14:val="tx1"/>
            </w14:solidFill>
          </w14:textFill>
        </w:rPr>
        <w:t>应具备的基本条件</w:t>
      </w:r>
    </w:p>
    <w:p w14:paraId="019AB6B0">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符合国家法律法规并有效存续的企业织或具有完全民事行为能力的自然人（法律另有规定除外）均可参与竞</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租</w:t>
      </w:r>
      <w:r>
        <w:rPr>
          <w:rFonts w:hint="eastAsia" w:ascii="宋体" w:hAnsi="宋体" w:eastAsia="宋体" w:cs="宋体"/>
          <w:color w:val="000000" w:themeColor="text1"/>
          <w:sz w:val="28"/>
          <w:szCs w:val="28"/>
          <w:shd w:val="clear" w:fill="FFFFFF"/>
          <w14:textFill>
            <w14:solidFill>
              <w14:schemeClr w14:val="tx1"/>
            </w14:solidFill>
          </w14:textFill>
        </w:rPr>
        <w:t>。</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未被“信用中国”网站列入失信被执行人、重大 税收违法案件当事人名单或被中国政府采购网列入政府采 购严重违法失信行为记录名单。</w:t>
      </w:r>
    </w:p>
    <w:p w14:paraId="54A3C3C5">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2"/>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四、转让标的特别说明</w:t>
      </w:r>
    </w:p>
    <w:p w14:paraId="66B8512D">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default" w:ascii="宋体" w:hAnsi="宋体" w:eastAsia="宋体" w:cs="宋体"/>
          <w:color w:val="000000" w:themeColor="text1"/>
          <w:kern w:val="0"/>
          <w:sz w:val="28"/>
          <w:szCs w:val="28"/>
          <w:shd w:val="clear" w:fill="FFFFFF"/>
          <w:lang w:val="en-US" w:eastAsia="zh-CN" w:bidi="ar"/>
          <w14:textFill>
            <w14:solidFill>
              <w14:schemeClr w14:val="tx1"/>
            </w14:solidFill>
          </w14:textFill>
        </w:rPr>
      </w:pP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（一）上述拟转让标的以《</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汐子镇中心校废旧锅炉及废旧铝合金门</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评估报告》中列示的资产为限，以实物现状为准。</w:t>
      </w:r>
    </w:p>
    <w:p w14:paraId="434F523F">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leftChars="0" w:right="0" w:firstLine="560" w:firstLineChars="0"/>
        <w:jc w:val="left"/>
        <w:textAlignment w:val="auto"/>
        <w:rPr>
          <w:rFonts w:hint="default" w:ascii="宋体" w:hAnsi="宋体" w:eastAsia="宋体" w:cs="宋体"/>
          <w:color w:val="000000" w:themeColor="text1"/>
          <w:kern w:val="0"/>
          <w:sz w:val="28"/>
          <w:szCs w:val="28"/>
          <w:shd w:val="clear" w:fill="FFFFFF"/>
          <w:lang w:val="en-US" w:eastAsia="zh-CN" w:bidi="ar"/>
          <w14:textFill>
            <w14:solidFill>
              <w14:schemeClr w14:val="tx1"/>
            </w14:solidFill>
          </w14:textFill>
        </w:rPr>
      </w:pP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二）意向受让方应在本公告截止日前到现场亲自勘验标的，了解掌握拟转让标的现状及现有和可能存在的瑕疵，自行了解相关政策及规定，就资产相关情况向转让方咨询、确认，凡参与受让都视同已经实地踏勘，确认了解拟转让标的范围、数量、现状等，对交易风险进行充分调查研判；意向受让方如未实地查验、了解掌握转让标的实物现状、瑕疵或未核实确认其真实情况而受让，由此造成的一切后果和经济损失，责任自负。转让公告及相关资料中提供的数据等均严格按照宁城县汐子镇中心校提供的文书确定，宁城县公共资源交易中心仅就转让方提供的资料负披露义务，无义务承担任何责任。请慎重决定竞买行为，意向受让方一旦作出竞买决定，即表明已完全了解标的公告内容和知悉标的现状，并自愿接受标的现状和一切已知及未知的瑕疵。竞价成交后不得以不了解标的状况为由而拒绝履行相关义务。</w:t>
      </w:r>
    </w:p>
    <w:p w14:paraId="1D08D34D">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leftChars="0" w:right="0" w:firstLine="560" w:firstLineChars="0"/>
        <w:jc w:val="left"/>
        <w:textAlignment w:val="auto"/>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pP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（三）民用方形锅炉2台，教室铝合金门36套。</w:t>
      </w:r>
    </w:p>
    <w:p w14:paraId="27F833C5">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right="0"/>
        <w:jc w:val="left"/>
        <w:textAlignment w:val="auto"/>
        <w:rPr>
          <w:rFonts w:hint="default" w:ascii="Calibri" w:hAnsi="Calibri" w:cs="Calibri"/>
          <w:color w:val="000000" w:themeColor="text1"/>
          <w:sz w:val="21"/>
          <w:szCs w:val="21"/>
          <w14:textFill>
            <w14:solidFill>
              <w14:schemeClr w14:val="tx1"/>
            </w14:solidFill>
          </w14:textFill>
        </w:rPr>
      </w:pPr>
      <w:r>
        <w:rPr>
          <w:rFonts w:hint="eastAsia"/>
          <w:color w:val="000000" w:themeColor="text1"/>
          <w:spacing w:val="-1"/>
          <w:lang w:val="en-US" w:eastAsia="zh-CN"/>
          <w14:textFill>
            <w14:solidFill>
              <w14:schemeClr w14:val="tx1"/>
            </w14:solidFill>
          </w14:textFill>
        </w:rPr>
        <w:t xml:space="preserve">     </w:t>
      </w:r>
      <w:r>
        <w:rPr>
          <w:rFonts w:hint="eastAsia" w:ascii="宋体" w:hAnsi="宋体" w:eastAsia="宋体" w:cs="宋体"/>
          <w:b/>
          <w:bCs/>
          <w:color w:val="000000" w:themeColor="text1"/>
          <w:spacing w:val="5"/>
          <w:sz w:val="30"/>
          <w:szCs w:val="30"/>
          <w:shd w:val="clear" w:fill="FFFFFF"/>
          <w14:textFill>
            <w14:solidFill>
              <w14:schemeClr w14:val="tx1"/>
            </w14:solidFill>
          </w14:textFill>
        </w:rPr>
        <w:t>五、</w:t>
      </w:r>
      <w:r>
        <w:rPr>
          <w:rFonts w:hint="eastAsia" w:ascii="宋体" w:hAnsi="宋体" w:eastAsia="宋体" w:cs="宋体"/>
          <w:b/>
          <w:bCs/>
          <w:color w:val="000000" w:themeColor="text1"/>
          <w:sz w:val="28"/>
          <w:szCs w:val="28"/>
          <w:shd w:val="clear" w:fill="FFFFFF"/>
          <w14:textFill>
            <w14:solidFill>
              <w14:schemeClr w14:val="tx1"/>
            </w14:solidFill>
          </w14:textFill>
        </w:rPr>
        <w:t>公告、报名和保证金截止时间</w:t>
      </w:r>
    </w:p>
    <w:p w14:paraId="33D2ED0B">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意向受让方按《附件4：竞买人系统操作手册》规定方法，自行在网上登记报名并按时参加竞价活动。</w:t>
      </w:r>
    </w:p>
    <w:p w14:paraId="182B465D">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right="0" w:firstLine="560" w:firstLineChars="200"/>
        <w:jc w:val="both"/>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公告时间：202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日8：00起至202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19</w:t>
      </w:r>
      <w:r>
        <w:rPr>
          <w:rFonts w:hint="eastAsia" w:ascii="宋体" w:hAnsi="宋体" w:eastAsia="宋体" w:cs="宋体"/>
          <w:color w:val="000000" w:themeColor="text1"/>
          <w:sz w:val="28"/>
          <w:szCs w:val="28"/>
          <w:shd w:val="clear" w:fill="FFFFFF"/>
          <w14:textFill>
            <w14:solidFill>
              <w14:schemeClr w14:val="tx1"/>
            </w14:solidFill>
          </w14:textFill>
        </w:rPr>
        <w:t>日17：</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30</w:t>
      </w:r>
      <w:r>
        <w:rPr>
          <w:rFonts w:hint="eastAsia" w:ascii="宋体" w:hAnsi="宋体" w:eastAsia="宋体" w:cs="宋体"/>
          <w:color w:val="000000" w:themeColor="text1"/>
          <w:sz w:val="28"/>
          <w:szCs w:val="28"/>
          <w:shd w:val="clear" w:fill="FFFFFF"/>
          <w14:textFill>
            <w14:solidFill>
              <w14:schemeClr w14:val="tx1"/>
            </w14:solidFill>
          </w14:textFill>
        </w:rPr>
        <w:t>止。</w:t>
      </w:r>
    </w:p>
    <w:p w14:paraId="0DB426CF">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报名时间：202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19</w:t>
      </w:r>
      <w:r>
        <w:rPr>
          <w:rFonts w:hint="eastAsia" w:ascii="宋体" w:hAnsi="宋体" w:eastAsia="宋体" w:cs="宋体"/>
          <w:color w:val="000000" w:themeColor="text1"/>
          <w:sz w:val="28"/>
          <w:szCs w:val="28"/>
          <w:shd w:val="clear" w:fill="FFFFFF"/>
          <w14:textFill>
            <w14:solidFill>
              <w14:schemeClr w14:val="tx1"/>
            </w14:solidFill>
          </w14:textFill>
        </w:rPr>
        <w:t>日8：00起至202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19</w:t>
      </w:r>
      <w:r>
        <w:rPr>
          <w:rFonts w:hint="eastAsia" w:ascii="宋体" w:hAnsi="宋体" w:eastAsia="宋体" w:cs="宋体"/>
          <w:color w:val="000000" w:themeColor="text1"/>
          <w:sz w:val="28"/>
          <w:szCs w:val="28"/>
          <w:shd w:val="clear" w:fill="FFFFFF"/>
          <w14:textFill>
            <w14:solidFill>
              <w14:schemeClr w14:val="tx1"/>
            </w14:solidFill>
          </w14:textFill>
        </w:rPr>
        <w:t>日17：</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30</w:t>
      </w:r>
      <w:r>
        <w:rPr>
          <w:rFonts w:hint="eastAsia" w:ascii="宋体" w:hAnsi="宋体" w:eastAsia="宋体" w:cs="宋体"/>
          <w:color w:val="000000" w:themeColor="text1"/>
          <w:sz w:val="28"/>
          <w:szCs w:val="28"/>
          <w:shd w:val="clear" w:fill="FFFFFF"/>
          <w14:textFill>
            <w14:solidFill>
              <w14:schemeClr w14:val="tx1"/>
            </w14:solidFill>
          </w14:textFill>
        </w:rPr>
        <w:t>止。</w:t>
      </w:r>
    </w:p>
    <w:p w14:paraId="036EA055">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宋体" w:hAnsi="宋体" w:eastAsia="宋体" w:cs="宋体"/>
          <w:b/>
          <w:bCs/>
          <w:color w:val="0000FF"/>
          <w:sz w:val="28"/>
          <w:szCs w:val="28"/>
          <w:shd w:val="clear" w:fill="FFFFFF"/>
        </w:rPr>
      </w:pPr>
      <w:r>
        <w:rPr>
          <w:rFonts w:hint="eastAsia" w:ascii="宋体" w:hAnsi="宋体" w:eastAsia="宋体" w:cs="宋体"/>
          <w:color w:val="000000" w:themeColor="text1"/>
          <w:sz w:val="28"/>
          <w:szCs w:val="28"/>
          <w:shd w:val="clear" w:fill="FFFFFF"/>
          <w14:textFill>
            <w14:solidFill>
              <w14:schemeClr w14:val="tx1"/>
            </w14:solidFill>
          </w14:textFill>
        </w:rPr>
        <w:t>保证金交纳截止时间：202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19</w:t>
      </w:r>
      <w:r>
        <w:rPr>
          <w:rFonts w:hint="eastAsia" w:ascii="宋体" w:hAnsi="宋体" w:eastAsia="宋体" w:cs="宋体"/>
          <w:color w:val="000000" w:themeColor="text1"/>
          <w:sz w:val="28"/>
          <w:szCs w:val="28"/>
          <w:shd w:val="clear" w:fill="FFFFFF"/>
          <w14:textFill>
            <w14:solidFill>
              <w14:schemeClr w14:val="tx1"/>
            </w14:solidFill>
          </w14:textFill>
        </w:rPr>
        <w:t>日17：</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w:t>
      </w:r>
      <w:r>
        <w:rPr>
          <w:rFonts w:hint="eastAsia" w:ascii="宋体" w:hAnsi="宋体" w:eastAsia="宋体" w:cs="宋体"/>
          <w:color w:val="000000" w:themeColor="text1"/>
          <w:sz w:val="28"/>
          <w:szCs w:val="28"/>
          <w:shd w:val="clear" w:fill="FFFFFF"/>
          <w14:textFill>
            <w14:solidFill>
              <w14:schemeClr w14:val="tx1"/>
            </w14:solidFill>
          </w14:textFill>
        </w:rPr>
        <w:t>0止。</w:t>
      </w:r>
    </w:p>
    <w:p w14:paraId="6BBD87A2">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六、标的展示时间及地点</w:t>
      </w:r>
    </w:p>
    <w:p w14:paraId="29B9D42C">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时间：202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日8：00起至202</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19</w:t>
      </w:r>
      <w:r>
        <w:rPr>
          <w:rFonts w:hint="eastAsia" w:ascii="宋体" w:hAnsi="宋体" w:eastAsia="宋体" w:cs="宋体"/>
          <w:color w:val="000000" w:themeColor="text1"/>
          <w:sz w:val="28"/>
          <w:szCs w:val="28"/>
          <w:shd w:val="clear" w:fill="FFFFFF"/>
          <w14:textFill>
            <w14:solidFill>
              <w14:schemeClr w14:val="tx1"/>
            </w14:solidFill>
          </w14:textFill>
        </w:rPr>
        <w:t>日17：</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30</w:t>
      </w:r>
      <w:r>
        <w:rPr>
          <w:rFonts w:hint="eastAsia" w:ascii="宋体" w:hAnsi="宋体" w:eastAsia="宋体" w:cs="宋体"/>
          <w:color w:val="000000" w:themeColor="text1"/>
          <w:sz w:val="28"/>
          <w:szCs w:val="28"/>
          <w:shd w:val="clear" w:fill="FFFFFF"/>
          <w14:textFill>
            <w14:solidFill>
              <w14:schemeClr w14:val="tx1"/>
            </w14:solidFill>
          </w14:textFill>
        </w:rPr>
        <w:t>止。</w:t>
      </w:r>
    </w:p>
    <w:p w14:paraId="06677F7B">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宋体" w:hAnsi="宋体" w:eastAsia="宋体" w:cs="宋体"/>
          <w:color w:val="000000" w:themeColor="text1"/>
          <w:sz w:val="28"/>
          <w:szCs w:val="28"/>
          <w:shd w:val="clear" w:fill="FFFFFF"/>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地点：</w:t>
      </w:r>
      <w:r>
        <w:rPr>
          <w:rFonts w:hint="eastAsia" w:ascii="宋体" w:hAnsi="宋体" w:eastAsia="宋体" w:cs="宋体"/>
          <w:color w:val="000000" w:themeColor="text1"/>
          <w:sz w:val="28"/>
          <w:szCs w:val="28"/>
          <w:shd w:val="clear" w:fill="FFFFFF"/>
          <w:lang w:eastAsia="zh-CN"/>
          <w14:textFill>
            <w14:solidFill>
              <w14:schemeClr w14:val="tx1"/>
            </w14:solidFill>
          </w14:textFill>
        </w:rPr>
        <w:t>汐子镇中心校</w:t>
      </w:r>
    </w:p>
    <w:p w14:paraId="0DC33D0C">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联系人：</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刘晓涛</w:t>
      </w:r>
    </w:p>
    <w:p w14:paraId="13C0BB6B">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default" w:ascii="宋体" w:hAnsi="宋体" w:eastAsia="宋体" w:cs="宋体"/>
          <w:color w:val="000000" w:themeColor="text1"/>
          <w:sz w:val="28"/>
          <w:szCs w:val="28"/>
          <w:shd w:val="clear" w:fill="FFFFFF"/>
          <w:lang w:val="en-US"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 xml:space="preserve">电  话: </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18947629968</w:t>
      </w:r>
    </w:p>
    <w:p w14:paraId="39A6B4E2">
      <w:pPr>
        <w:pStyle w:val="3"/>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七、交易方式</w:t>
      </w:r>
    </w:p>
    <w:p w14:paraId="736FD00B">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426"/>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（一）该项目以网络竞价并采取最高报价者得的方式确定</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w:t>
      </w:r>
    </w:p>
    <w:p w14:paraId="56CB99D9">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公告期满后，标的如只有一家符合条件的意向</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报名登记，不竞价，直接将该意向</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确定为</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，以底价成交；标的如有两家及两家以上符合条件的意向</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报名登记，选择网络竞价方式确定</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w:t>
      </w:r>
    </w:p>
    <w:p w14:paraId="645495D8">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2" w:firstLineChars="20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网络竞价时间:2025年</w:t>
      </w:r>
      <w:r>
        <w:rPr>
          <w:rFonts w:hint="eastAsia" w:ascii="宋体" w:hAnsi="宋体" w:eastAsia="宋体" w:cs="宋体"/>
          <w:b/>
          <w:bCs/>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b/>
          <w:bCs/>
          <w:color w:val="000000" w:themeColor="text1"/>
          <w:sz w:val="28"/>
          <w:szCs w:val="28"/>
          <w:shd w:val="clear" w:fill="FFFFFF"/>
          <w14:textFill>
            <w14:solidFill>
              <w14:schemeClr w14:val="tx1"/>
            </w14:solidFill>
          </w14:textFill>
        </w:rPr>
        <w:t>月</w:t>
      </w:r>
      <w:r>
        <w:rPr>
          <w:rFonts w:hint="eastAsia" w:ascii="宋体" w:hAnsi="宋体" w:eastAsia="宋体" w:cs="宋体"/>
          <w:b/>
          <w:bCs/>
          <w:color w:val="000000" w:themeColor="text1"/>
          <w:sz w:val="28"/>
          <w:szCs w:val="28"/>
          <w:shd w:val="clear" w:fill="FFFFFF"/>
          <w:lang w:val="en-US" w:eastAsia="zh-CN"/>
          <w14:textFill>
            <w14:solidFill>
              <w14:schemeClr w14:val="tx1"/>
            </w14:solidFill>
          </w14:textFill>
        </w:rPr>
        <w:t>20</w:t>
      </w:r>
      <w:r>
        <w:rPr>
          <w:rFonts w:hint="eastAsia" w:ascii="宋体" w:hAnsi="宋体" w:eastAsia="宋体" w:cs="宋体"/>
          <w:b/>
          <w:bCs/>
          <w:color w:val="000000" w:themeColor="text1"/>
          <w:sz w:val="28"/>
          <w:szCs w:val="28"/>
          <w:shd w:val="clear" w:fill="FFFFFF"/>
          <w14:textFill>
            <w14:solidFill>
              <w14:schemeClr w14:val="tx1"/>
            </w14:solidFill>
          </w14:textFill>
        </w:rPr>
        <w:t>日上午9:00时</w:t>
      </w:r>
    </w:p>
    <w:p w14:paraId="1A2CDE53">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2" w:firstLineChars="20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 xml:space="preserve">延时竞价周期：240秒。 </w:t>
      </w:r>
    </w:p>
    <w:p w14:paraId="15251B75">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2" w:firstLineChars="200"/>
        <w:jc w:val="left"/>
        <w:textAlignment w:val="auto"/>
        <w:rPr>
          <w:rFonts w:hint="eastAsia" w:ascii="宋体" w:hAnsi="宋体" w:eastAsia="宋体" w:cs="宋体"/>
          <w:color w:val="000000" w:themeColor="text1"/>
          <w:sz w:val="28"/>
          <w:szCs w:val="28"/>
          <w:shd w:val="clear" w:fill="FFFFFF"/>
          <w14:textFill>
            <w14:solidFill>
              <w14:schemeClr w14:val="tx1"/>
            </w14:solidFill>
          </w14:textFill>
        </w:rPr>
      </w:pPr>
      <w:r>
        <w:rPr>
          <w:rFonts w:hint="eastAsia" w:ascii="宋体" w:hAnsi="宋体" w:eastAsia="宋体" w:cs="宋体"/>
          <w:b/>
          <w:bCs/>
          <w:color w:val="000000" w:themeColor="text1"/>
          <w:sz w:val="28"/>
          <w:szCs w:val="28"/>
          <w:shd w:val="clear" w:fill="FFFFFF"/>
          <w14:textFill>
            <w14:solidFill>
              <w14:schemeClr w14:val="tx1"/>
            </w14:solidFill>
          </w14:textFill>
        </w:rPr>
        <w:t>请符合条件的</w:t>
      </w:r>
      <w:r>
        <w:rPr>
          <w:rFonts w:hint="eastAsia" w:ascii="宋体" w:hAnsi="宋体" w:eastAsia="宋体" w:cs="宋体"/>
          <w:b/>
          <w:bCs/>
          <w:color w:val="000000" w:themeColor="text1"/>
          <w:sz w:val="28"/>
          <w:szCs w:val="28"/>
          <w:shd w:val="clear" w:fill="FFFFFF"/>
          <w:lang w:val="en-US" w:eastAsia="zh-CN"/>
          <w14:textFill>
            <w14:solidFill>
              <w14:schemeClr w14:val="tx1"/>
            </w14:solidFill>
          </w14:textFill>
        </w:rPr>
        <w:t>潜在买家</w:t>
      </w:r>
      <w:r>
        <w:rPr>
          <w:rFonts w:hint="eastAsia" w:ascii="宋体" w:hAnsi="宋体" w:eastAsia="宋体" w:cs="宋体"/>
          <w:b/>
          <w:bCs/>
          <w:color w:val="000000" w:themeColor="text1"/>
          <w:sz w:val="28"/>
          <w:szCs w:val="28"/>
          <w:shd w:val="clear" w:fill="FFFFFF"/>
          <w14:textFill>
            <w14:solidFill>
              <w14:schemeClr w14:val="tx1"/>
            </w14:solidFill>
          </w14:textFill>
        </w:rPr>
        <w:t>，按照网络竞价时间自行竞价（使用方法见《附件4：竞买人系统操作手册》</w:t>
      </w:r>
      <w:r>
        <w:rPr>
          <w:rFonts w:hint="eastAsia" w:ascii="宋体" w:hAnsi="宋体" w:eastAsia="宋体" w:cs="宋体"/>
          <w:color w:val="000000" w:themeColor="text1"/>
          <w:sz w:val="28"/>
          <w:szCs w:val="28"/>
          <w:shd w:val="clear" w:fill="FFFFFF"/>
          <w14:textFill>
            <w14:solidFill>
              <w14:schemeClr w14:val="tx1"/>
            </w14:solidFill>
          </w14:textFill>
        </w:rPr>
        <w:t>）。</w:t>
      </w:r>
    </w:p>
    <w:p w14:paraId="6CD2C0AF">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2"/>
        <w:jc w:val="both"/>
        <w:textAlignment w:val="auto"/>
        <w:rPr>
          <w:rFonts w:ascii="等线" w:hAnsi="等线" w:eastAsia="等线" w:cs="等线"/>
          <w:color w:val="000000" w:themeColor="text1"/>
          <w:sz w:val="21"/>
          <w:szCs w:val="21"/>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（二）标的成交后3个工作日内，</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出让</w:t>
      </w:r>
      <w:r>
        <w:rPr>
          <w:rFonts w:hint="eastAsia" w:ascii="宋体" w:hAnsi="宋体" w:eastAsia="宋体" w:cs="宋体"/>
          <w:color w:val="000000" w:themeColor="text1"/>
          <w:sz w:val="28"/>
          <w:szCs w:val="28"/>
          <w:shd w:val="clear" w:fill="FFFFFF"/>
          <w14:textFill>
            <w14:solidFill>
              <w14:schemeClr w14:val="tx1"/>
            </w14:solidFill>
          </w14:textFill>
        </w:rPr>
        <w:t>方与</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在宁城县</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汐子镇中心校</w:t>
      </w:r>
      <w:r>
        <w:rPr>
          <w:rFonts w:hint="eastAsia" w:ascii="宋体" w:hAnsi="宋体" w:eastAsia="宋体" w:cs="宋体"/>
          <w:color w:val="000000" w:themeColor="text1"/>
          <w:sz w:val="28"/>
          <w:szCs w:val="28"/>
          <w:shd w:val="clear" w:fill="FFFFFF"/>
          <w14:textFill>
            <w14:solidFill>
              <w14:schemeClr w14:val="tx1"/>
            </w14:solidFill>
          </w14:textFill>
        </w:rPr>
        <w:t>签订《</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出让协议</w:t>
      </w:r>
      <w:r>
        <w:rPr>
          <w:rFonts w:hint="eastAsia" w:ascii="宋体" w:hAnsi="宋体" w:eastAsia="宋体" w:cs="宋体"/>
          <w:color w:val="000000" w:themeColor="text1"/>
          <w:sz w:val="28"/>
          <w:szCs w:val="28"/>
          <w:shd w:val="clear" w:fill="FFFFFF"/>
          <w14:textFill>
            <w14:solidFill>
              <w14:schemeClr w14:val="tx1"/>
            </w14:solidFill>
          </w14:textFill>
        </w:rPr>
        <w:t>》。</w:t>
      </w:r>
    </w:p>
    <w:p w14:paraId="12FB5CFC">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0"/>
        <w:jc w:val="left"/>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30"/>
          <w:szCs w:val="30"/>
          <w:shd w:val="clear" w:fill="FFFFFF"/>
          <w14:textFill>
            <w14:solidFill>
              <w14:schemeClr w14:val="tx1"/>
            </w14:solidFill>
          </w14:textFill>
        </w:rPr>
        <w:t>八、</w:t>
      </w:r>
      <w:r>
        <w:rPr>
          <w:rFonts w:hint="eastAsia" w:ascii="宋体" w:hAnsi="宋体" w:eastAsia="宋体" w:cs="宋体"/>
          <w:b/>
          <w:bCs/>
          <w:color w:val="000000" w:themeColor="text1"/>
          <w:sz w:val="28"/>
          <w:szCs w:val="28"/>
          <w:shd w:val="clear" w:fill="FFFFFF"/>
          <w14:textFill>
            <w14:solidFill>
              <w14:schemeClr w14:val="tx1"/>
            </w14:solidFill>
          </w14:textFill>
        </w:rPr>
        <w:t>竞买保证金的交纳及处置</w:t>
      </w:r>
    </w:p>
    <w:p w14:paraId="389C56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firstLine="310" w:firstLineChars="1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（一）</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潜在受让方</w:t>
      </w:r>
      <w:r>
        <w:rPr>
          <w:rFonts w:hint="eastAsia" w:ascii="宋体" w:hAnsi="宋体" w:eastAsia="宋体" w:cs="宋体"/>
          <w:color w:val="000000" w:themeColor="text1"/>
          <w:spacing w:val="5"/>
          <w:sz w:val="30"/>
          <w:szCs w:val="30"/>
          <w:shd w:val="clear" w:fill="FFFFFF"/>
          <w14:textFill>
            <w14:solidFill>
              <w14:schemeClr w14:val="tx1"/>
            </w14:solidFill>
          </w14:textFill>
        </w:rPr>
        <w:t>须于报名截止时间前（以银行到账为准）向赤峰市公共资源交易中心指定账户汇入竞</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拍</w:t>
      </w:r>
      <w:r>
        <w:rPr>
          <w:rFonts w:hint="eastAsia" w:ascii="宋体" w:hAnsi="宋体" w:eastAsia="宋体" w:cs="宋体"/>
          <w:color w:val="000000" w:themeColor="text1"/>
          <w:spacing w:val="5"/>
          <w:sz w:val="30"/>
          <w:szCs w:val="30"/>
          <w:shd w:val="clear" w:fill="FFFFFF"/>
          <w14:textFill>
            <w14:solidFill>
              <w14:schemeClr w14:val="tx1"/>
            </w14:solidFill>
          </w14:textFill>
        </w:rPr>
        <w:t>保证金。</w:t>
      </w:r>
    </w:p>
    <w:p w14:paraId="654858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1、账户名称：赤峰市公共资源交易中心</w:t>
      </w:r>
    </w:p>
    <w:p w14:paraId="07BCB6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2、银行账号及缴款子账号：系统自动生成</w:t>
      </w:r>
    </w:p>
    <w:p w14:paraId="158705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eastAsia" w:ascii="宋体" w:hAnsi="宋体" w:eastAsia="宋体" w:cs="宋体"/>
          <w:color w:val="000000" w:themeColor="text1"/>
          <w:spacing w:val="5"/>
          <w:sz w:val="30"/>
          <w:szCs w:val="30"/>
          <w:shd w:val="clear" w:fill="FFFFFF"/>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注：</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受让方</w:t>
      </w:r>
      <w:r>
        <w:rPr>
          <w:rFonts w:hint="eastAsia" w:ascii="宋体" w:hAnsi="宋体" w:eastAsia="宋体" w:cs="宋体"/>
          <w:color w:val="000000" w:themeColor="text1"/>
          <w:spacing w:val="5"/>
          <w:sz w:val="30"/>
          <w:szCs w:val="30"/>
          <w:shd w:val="clear" w:fill="FFFFFF"/>
          <w14:textFill>
            <w14:solidFill>
              <w14:schemeClr w14:val="tx1"/>
            </w14:solidFill>
          </w14:textFill>
        </w:rPr>
        <w:t>按</w:t>
      </w:r>
      <w:r>
        <w:rPr>
          <w:rFonts w:hint="eastAsia" w:ascii="宋体" w:hAnsi="宋体" w:eastAsia="宋体" w:cs="宋体"/>
          <w:color w:val="000000" w:themeColor="text1"/>
          <w:spacing w:val="5"/>
          <w:sz w:val="30"/>
          <w:szCs w:val="30"/>
          <w:shd w:val="clear" w:fill="FFFFFF"/>
          <w:lang w:eastAsia="zh-CN"/>
          <w14:textFill>
            <w14:solidFill>
              <w14:schemeClr w14:val="tx1"/>
            </w14:solidFill>
          </w14:textFill>
        </w:rPr>
        <w:t>《</w:t>
      </w:r>
      <w:r>
        <w:rPr>
          <w:rFonts w:hint="eastAsia" w:ascii="宋体" w:hAnsi="宋体" w:eastAsia="宋体" w:cs="宋体"/>
          <w:b/>
          <w:bCs/>
          <w:color w:val="000000" w:themeColor="text1"/>
          <w:sz w:val="28"/>
          <w:szCs w:val="28"/>
          <w:shd w:val="clear" w:fill="FFFFFF"/>
          <w14:textFill>
            <w14:solidFill>
              <w14:schemeClr w14:val="tx1"/>
            </w14:solidFill>
          </w14:textFill>
        </w:rPr>
        <w:t>竞买人系统操作手册</w:t>
      </w:r>
      <w:r>
        <w:rPr>
          <w:rFonts w:hint="eastAsia" w:ascii="宋体" w:hAnsi="宋体" w:eastAsia="宋体" w:cs="宋体"/>
          <w:b/>
          <w:bCs/>
          <w:color w:val="000000" w:themeColor="text1"/>
          <w:sz w:val="28"/>
          <w:szCs w:val="28"/>
          <w:shd w:val="clear" w:fill="FFFFFF"/>
          <w:lang w:eastAsia="zh-CN"/>
          <w14:textFill>
            <w14:solidFill>
              <w14:schemeClr w14:val="tx1"/>
            </w14:solidFill>
          </w14:textFill>
        </w:rPr>
        <w:t>》</w:t>
      </w:r>
      <w:r>
        <w:rPr>
          <w:rFonts w:hint="eastAsia" w:ascii="宋体" w:hAnsi="宋体" w:eastAsia="宋体" w:cs="宋体"/>
          <w:color w:val="000000" w:themeColor="text1"/>
          <w:spacing w:val="5"/>
          <w:sz w:val="30"/>
          <w:szCs w:val="30"/>
          <w:shd w:val="clear" w:fill="FFFFFF"/>
          <w14:textFill>
            <w14:solidFill>
              <w14:schemeClr w14:val="tx1"/>
            </w14:solidFill>
          </w14:textFill>
        </w:rPr>
        <w:t>操作。</w:t>
      </w:r>
    </w:p>
    <w:p w14:paraId="2D0E38F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rightChars="0" w:firstLine="310" w:firstLineChars="100"/>
        <w:jc w:val="both"/>
        <w:textAlignment w:val="auto"/>
        <w:rPr>
          <w:rFonts w:hint="eastAsia" w:ascii="宋体" w:hAnsi="宋体" w:eastAsia="宋体" w:cs="宋体"/>
          <w:color w:val="000000" w:themeColor="text1"/>
          <w:spacing w:val="5"/>
          <w:sz w:val="30"/>
          <w:szCs w:val="30"/>
          <w:shd w:val="clear" w:fill="FFFFFF"/>
          <w14:textFill>
            <w14:solidFill>
              <w14:schemeClr w14:val="tx1"/>
            </w14:solidFill>
          </w14:textFill>
        </w:rPr>
      </w:pPr>
      <w:r>
        <w:rPr>
          <w:rFonts w:hint="eastAsia" w:ascii="宋体" w:hAnsi="宋体" w:eastAsia="宋体" w:cs="宋体"/>
          <w:color w:val="000000" w:themeColor="text1"/>
          <w:spacing w:val="5"/>
          <w:sz w:val="30"/>
          <w:szCs w:val="30"/>
          <w:shd w:val="clear" w:fill="FFFFFF"/>
          <w:lang w:eastAsia="zh-CN"/>
          <w14:textFill>
            <w14:solidFill>
              <w14:schemeClr w14:val="tx1"/>
            </w14:solidFill>
          </w14:textFill>
        </w:rPr>
        <w:t>（</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二</w:t>
      </w:r>
      <w:r>
        <w:rPr>
          <w:rFonts w:hint="eastAsia" w:ascii="宋体" w:hAnsi="宋体" w:eastAsia="宋体" w:cs="宋体"/>
          <w:color w:val="000000" w:themeColor="text1"/>
          <w:spacing w:val="5"/>
          <w:sz w:val="30"/>
          <w:szCs w:val="30"/>
          <w:shd w:val="clear" w:fill="FFFFFF"/>
          <w:lang w:eastAsia="zh-CN"/>
          <w14:textFill>
            <w14:solidFill>
              <w14:schemeClr w14:val="tx1"/>
            </w14:solidFill>
          </w14:textFill>
        </w:rPr>
        <w:t>）</w:t>
      </w:r>
      <w:r>
        <w:rPr>
          <w:rFonts w:hint="eastAsia" w:ascii="宋体" w:hAnsi="宋体" w:eastAsia="宋体" w:cs="宋体"/>
          <w:color w:val="000000" w:themeColor="text1"/>
          <w:spacing w:val="5"/>
          <w:sz w:val="30"/>
          <w:szCs w:val="30"/>
          <w:shd w:val="clear" w:fill="FFFFFF"/>
          <w14:textFill>
            <w14:solidFill>
              <w14:schemeClr w14:val="tx1"/>
            </w14:solidFill>
          </w14:textFill>
        </w:rPr>
        <w:t>法人、自然人交纳</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color w:val="000000" w:themeColor="text1"/>
          <w:spacing w:val="5"/>
          <w:sz w:val="30"/>
          <w:szCs w:val="30"/>
          <w:shd w:val="clear" w:fill="FFFFFF"/>
          <w14:textFill>
            <w14:solidFill>
              <w14:schemeClr w14:val="tx1"/>
            </w14:solidFill>
          </w14:textFill>
        </w:rPr>
        <w:t>保证金必须通过本单位、本人账户采取本地转账、异地电汇或网上银行（均应向赤峰市公共资源交易中心产权交易部提交加盖银行转讫章的回单）的形式划转至上述指定任一账户。不得以现金形式交纳，不得由他方代为交纳</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color w:val="000000" w:themeColor="text1"/>
          <w:spacing w:val="5"/>
          <w:sz w:val="30"/>
          <w:szCs w:val="30"/>
          <w:shd w:val="clear" w:fill="FFFFFF"/>
          <w14:textFill>
            <w14:solidFill>
              <w14:schemeClr w14:val="tx1"/>
            </w14:solidFill>
          </w14:textFill>
        </w:rPr>
        <w:t>保证金。</w:t>
      </w:r>
    </w:p>
    <w:p w14:paraId="217AB79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rightChars="0" w:firstLine="310" w:firstLineChars="1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（三）未</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竞拍成功</w:t>
      </w:r>
      <w:r>
        <w:rPr>
          <w:rFonts w:hint="eastAsia" w:ascii="宋体" w:hAnsi="宋体" w:eastAsia="宋体" w:cs="宋体"/>
          <w:color w:val="000000" w:themeColor="text1"/>
          <w:spacing w:val="5"/>
          <w:sz w:val="30"/>
          <w:szCs w:val="30"/>
          <w:shd w:val="clear" w:fill="FFFFFF"/>
          <w14:textFill>
            <w14:solidFill>
              <w14:schemeClr w14:val="tx1"/>
            </w14:solidFill>
          </w14:textFill>
        </w:rPr>
        <w:t>交纳的</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交易</w:t>
      </w:r>
      <w:r>
        <w:rPr>
          <w:rFonts w:hint="eastAsia" w:ascii="宋体" w:hAnsi="宋体" w:eastAsia="宋体" w:cs="宋体"/>
          <w:color w:val="000000" w:themeColor="text1"/>
          <w:spacing w:val="5"/>
          <w:sz w:val="30"/>
          <w:szCs w:val="30"/>
          <w:shd w:val="clear" w:fill="FFFFFF"/>
          <w14:textFill>
            <w14:solidFill>
              <w14:schemeClr w14:val="tx1"/>
            </w14:solidFill>
          </w14:textFill>
        </w:rPr>
        <w:t>保证金，在按规定程序和要求确定购买人后5个工作日内统一办理退还手续（不计息）。</w:t>
      </w:r>
    </w:p>
    <w:p w14:paraId="33859C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firstLine="310" w:firstLineChars="1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（四）发生下列情况之一，</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color w:val="000000" w:themeColor="text1"/>
          <w:spacing w:val="5"/>
          <w:sz w:val="30"/>
          <w:szCs w:val="30"/>
          <w:shd w:val="clear" w:fill="FFFFFF"/>
          <w14:textFill>
            <w14:solidFill>
              <w14:schemeClr w14:val="tx1"/>
            </w14:solidFill>
          </w14:textFill>
        </w:rPr>
        <w:t>保证金不予退还：</w:t>
      </w:r>
    </w:p>
    <w:p w14:paraId="6DC6D1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1.串通损害国家利益、社会利益或他人合法权益的；</w:t>
      </w:r>
    </w:p>
    <w:p w14:paraId="49B175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2.在资产</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color w:val="000000" w:themeColor="text1"/>
          <w:spacing w:val="5"/>
          <w:sz w:val="30"/>
          <w:szCs w:val="30"/>
          <w:shd w:val="clear" w:fill="FFFFFF"/>
          <w14:textFill>
            <w14:solidFill>
              <w14:schemeClr w14:val="tx1"/>
            </w14:solidFill>
          </w14:textFill>
        </w:rPr>
        <w:t>有效期内，撤回其意向</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color w:val="000000" w:themeColor="text1"/>
          <w:spacing w:val="5"/>
          <w:sz w:val="30"/>
          <w:szCs w:val="30"/>
          <w:shd w:val="clear" w:fill="FFFFFF"/>
          <w14:textFill>
            <w14:solidFill>
              <w14:schemeClr w14:val="tx1"/>
            </w14:solidFill>
          </w14:textFill>
        </w:rPr>
        <w:t>的；</w:t>
      </w:r>
    </w:p>
    <w:p w14:paraId="467B29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3.未按成交（中标）要求交纳</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交易</w:t>
      </w:r>
      <w:r>
        <w:rPr>
          <w:rFonts w:hint="eastAsia" w:ascii="宋体" w:hAnsi="宋体" w:eastAsia="宋体" w:cs="宋体"/>
          <w:color w:val="000000" w:themeColor="text1"/>
          <w:spacing w:val="5"/>
          <w:sz w:val="30"/>
          <w:szCs w:val="30"/>
          <w:shd w:val="clear" w:fill="FFFFFF"/>
          <w14:textFill>
            <w14:solidFill>
              <w14:schemeClr w14:val="tx1"/>
            </w14:solidFill>
          </w14:textFill>
        </w:rPr>
        <w:t>成交价款的；</w:t>
      </w:r>
    </w:p>
    <w:p w14:paraId="75C599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4.只有一家符合条件的</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潜在买家</w:t>
      </w:r>
      <w:r>
        <w:rPr>
          <w:rFonts w:hint="eastAsia" w:ascii="宋体" w:hAnsi="宋体" w:eastAsia="宋体" w:cs="宋体"/>
          <w:color w:val="000000" w:themeColor="text1"/>
          <w:spacing w:val="5"/>
          <w:sz w:val="30"/>
          <w:szCs w:val="30"/>
          <w:shd w:val="clear" w:fill="FFFFFF"/>
          <w14:textFill>
            <w14:solidFill>
              <w14:schemeClr w14:val="tx1"/>
            </w14:solidFill>
          </w14:textFill>
        </w:rPr>
        <w:t>报名登记，而</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潜在买家</w:t>
      </w:r>
      <w:r>
        <w:rPr>
          <w:rFonts w:hint="eastAsia" w:ascii="宋体" w:hAnsi="宋体" w:eastAsia="宋体" w:cs="宋体"/>
          <w:color w:val="000000" w:themeColor="text1"/>
          <w:spacing w:val="5"/>
          <w:sz w:val="30"/>
          <w:szCs w:val="30"/>
          <w:shd w:val="clear" w:fill="FFFFFF"/>
          <w14:textFill>
            <w14:solidFill>
              <w14:schemeClr w14:val="tx1"/>
            </w14:solidFill>
          </w14:textFill>
        </w:rPr>
        <w:t>拒绝交纳成交价款、拒绝签订合同的；</w:t>
      </w:r>
    </w:p>
    <w:p w14:paraId="5CBC9E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5.未按成交（中标）要求签订合同或放弃签订合同的；</w:t>
      </w:r>
    </w:p>
    <w:p w14:paraId="78FA30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30"/>
          <w:szCs w:val="30"/>
          <w:shd w:val="clear" w:fill="FFFFFF"/>
          <w14:textFill>
            <w14:solidFill>
              <w14:schemeClr w14:val="tx1"/>
            </w14:solidFill>
          </w14:textFill>
        </w:rPr>
        <w:t>6.未按</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转让</w:t>
      </w:r>
      <w:r>
        <w:rPr>
          <w:rFonts w:hint="eastAsia" w:ascii="宋体" w:hAnsi="宋体" w:eastAsia="宋体" w:cs="宋体"/>
          <w:color w:val="000000" w:themeColor="text1"/>
          <w:spacing w:val="5"/>
          <w:sz w:val="30"/>
          <w:szCs w:val="30"/>
          <w:shd w:val="clear" w:fill="FFFFFF"/>
          <w14:textFill>
            <w14:solidFill>
              <w14:schemeClr w14:val="tx1"/>
            </w14:solidFill>
          </w14:textFill>
        </w:rPr>
        <w:t>公告规定的其它行为。</w:t>
      </w:r>
    </w:p>
    <w:p w14:paraId="4D4B73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22"/>
        <w:jc w:val="both"/>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30"/>
          <w:szCs w:val="30"/>
          <w:shd w:val="clear" w:fill="FFFFFF"/>
          <w:lang w:val="en-US" w:eastAsia="zh-CN"/>
          <w14:textFill>
            <w14:solidFill>
              <w14:schemeClr w14:val="tx1"/>
            </w14:solidFill>
          </w14:textFill>
        </w:rPr>
        <w:t>九</w:t>
      </w:r>
      <w:r>
        <w:rPr>
          <w:rFonts w:hint="eastAsia" w:ascii="宋体" w:hAnsi="宋体" w:eastAsia="宋体" w:cs="宋体"/>
          <w:b/>
          <w:bCs/>
          <w:color w:val="000000" w:themeColor="text1"/>
          <w:spacing w:val="5"/>
          <w:sz w:val="30"/>
          <w:szCs w:val="30"/>
          <w:shd w:val="clear" w:fill="FFFFFF"/>
          <w14:textFill>
            <w14:solidFill>
              <w14:schemeClr w14:val="tx1"/>
            </w14:solidFill>
          </w14:textFill>
        </w:rPr>
        <w:t>、意向</w:t>
      </w:r>
      <w:r>
        <w:rPr>
          <w:rFonts w:hint="eastAsia" w:ascii="宋体" w:hAnsi="宋体" w:eastAsia="宋体" w:cs="宋体"/>
          <w:b/>
          <w:bCs/>
          <w:color w:val="000000" w:themeColor="text1"/>
          <w:spacing w:val="5"/>
          <w:sz w:val="30"/>
          <w:szCs w:val="30"/>
          <w:shd w:val="clear" w:fill="FFFFFF"/>
          <w:lang w:val="en-US" w:eastAsia="zh-CN"/>
          <w14:textFill>
            <w14:solidFill>
              <w14:schemeClr w14:val="tx1"/>
            </w14:solidFill>
          </w14:textFill>
        </w:rPr>
        <w:t>竞租</w:t>
      </w:r>
      <w:r>
        <w:rPr>
          <w:rFonts w:hint="eastAsia" w:ascii="宋体" w:hAnsi="宋体" w:eastAsia="宋体" w:cs="宋体"/>
          <w:b/>
          <w:bCs/>
          <w:color w:val="000000" w:themeColor="text1"/>
          <w:spacing w:val="5"/>
          <w:sz w:val="30"/>
          <w:szCs w:val="30"/>
          <w:shd w:val="clear" w:fill="FFFFFF"/>
          <w14:textFill>
            <w14:solidFill>
              <w14:schemeClr w14:val="tx1"/>
            </w14:solidFill>
          </w14:textFill>
        </w:rPr>
        <w:t>人申请登记需上传的资料</w:t>
      </w:r>
    </w:p>
    <w:p w14:paraId="77D64B70">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14:textFill>
            <w14:solidFill>
              <w14:schemeClr w14:val="tx1"/>
            </w14:solidFill>
          </w14:textFill>
        </w:rPr>
        <w:t>（一）企业法人、其他组织申请登记时应上传：</w:t>
      </w:r>
    </w:p>
    <w:p w14:paraId="1F29E882">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14:textFill>
            <w14:solidFill>
              <w14:schemeClr w14:val="tx1"/>
            </w14:solidFill>
          </w14:textFill>
        </w:rPr>
        <w:t>1、营业执照副本；</w:t>
      </w:r>
    </w:p>
    <w:p w14:paraId="57F08961">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14:textFill>
            <w14:solidFill>
              <w14:schemeClr w14:val="tx1"/>
            </w14:solidFill>
          </w14:textFill>
        </w:rPr>
        <w:t>2、法定代表人身份证；</w:t>
      </w:r>
    </w:p>
    <w:p w14:paraId="2478733A">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t>3</w:t>
      </w:r>
      <w:r>
        <w:rPr>
          <w:rFonts w:hint="eastAsia" w:ascii="宋体" w:hAnsi="宋体" w:eastAsia="宋体" w:cs="Calibri"/>
          <w:color w:val="000000" w:themeColor="text1"/>
          <w:kern w:val="0"/>
          <w:sz w:val="28"/>
          <w:szCs w:val="28"/>
          <w:shd w:val="clear" w:color="auto" w:fill="FFFFFF"/>
          <w14:textFill>
            <w14:solidFill>
              <w14:schemeClr w14:val="tx1"/>
            </w14:solidFill>
          </w14:textFill>
        </w:rPr>
        <w:t>、申请人委托他人办理的，应提交授权委托书原件（见附件）及委托代理人身份证；</w:t>
      </w:r>
    </w:p>
    <w:p w14:paraId="5F0FC13D">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t>4</w:t>
      </w:r>
      <w:r>
        <w:rPr>
          <w:rFonts w:hint="eastAsia" w:ascii="宋体" w:hAnsi="宋体" w:eastAsia="宋体" w:cs="Calibri"/>
          <w:color w:val="000000" w:themeColor="text1"/>
          <w:kern w:val="0"/>
          <w:sz w:val="28"/>
          <w:szCs w:val="28"/>
          <w:shd w:val="clear" w:color="auto" w:fill="FFFFFF"/>
          <w14:textFill>
            <w14:solidFill>
              <w14:schemeClr w14:val="tx1"/>
            </w14:solidFill>
          </w14:textFill>
        </w:rPr>
        <w:t>、承诺函原件（见附件）。</w:t>
      </w:r>
    </w:p>
    <w:p w14:paraId="1E2B59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both"/>
        <w:textAlignment w:val="auto"/>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t>5、</w:t>
      </w:r>
      <w:r>
        <w:rPr>
          <w:rFonts w:hint="eastAsia" w:ascii="宋体" w:hAnsi="宋体" w:eastAsia="宋体" w:cs="宋体"/>
          <w:color w:val="000000" w:themeColor="text1"/>
          <w:spacing w:val="5"/>
          <w:sz w:val="30"/>
          <w:szCs w:val="30"/>
          <w:shd w:val="clear" w:fill="FFFFFF"/>
          <w14:textFill>
            <w14:solidFill>
              <w14:schemeClr w14:val="tx1"/>
            </w14:solidFill>
          </w14:textFill>
        </w:rPr>
        <w:t>《</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交易</w:t>
      </w:r>
      <w:r>
        <w:rPr>
          <w:rFonts w:hint="eastAsia" w:ascii="宋体" w:hAnsi="宋体" w:eastAsia="宋体" w:cs="宋体"/>
          <w:color w:val="000000" w:themeColor="text1"/>
          <w:spacing w:val="5"/>
          <w:sz w:val="30"/>
          <w:szCs w:val="30"/>
          <w:shd w:val="clear" w:fill="FFFFFF"/>
          <w14:textFill>
            <w14:solidFill>
              <w14:schemeClr w14:val="tx1"/>
            </w14:solidFill>
          </w14:textFill>
        </w:rPr>
        <w:t>保证金交款凭证》（验原件、留复印件）。</w:t>
      </w:r>
    </w:p>
    <w:p w14:paraId="4DFAC070">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14:textFill>
            <w14:solidFill>
              <w14:schemeClr w14:val="tx1"/>
            </w14:solidFill>
          </w14:textFill>
        </w:rPr>
        <w:t>（二）自然人申请登记时应上传：</w:t>
      </w:r>
    </w:p>
    <w:p w14:paraId="60B2F58B">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14:textFill>
            <w14:solidFill>
              <w14:schemeClr w14:val="tx1"/>
            </w14:solidFill>
          </w14:textFill>
        </w:rPr>
        <w:t>1、本人身份证；</w:t>
      </w:r>
    </w:p>
    <w:p w14:paraId="443C8525">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t>2</w:t>
      </w:r>
      <w:r>
        <w:rPr>
          <w:rFonts w:hint="eastAsia" w:ascii="宋体" w:hAnsi="宋体" w:eastAsia="宋体" w:cs="Calibri"/>
          <w:color w:val="000000" w:themeColor="text1"/>
          <w:kern w:val="0"/>
          <w:sz w:val="28"/>
          <w:szCs w:val="28"/>
          <w:shd w:val="clear" w:color="auto" w:fill="FFFFFF"/>
          <w14:textFill>
            <w14:solidFill>
              <w14:schemeClr w14:val="tx1"/>
            </w14:solidFill>
          </w14:textFill>
        </w:rPr>
        <w:t>、申请人委托他人办理的，应提交授权委托书原件（见附件）及委托代理人身份证；</w:t>
      </w:r>
    </w:p>
    <w:p w14:paraId="28F8C8CE">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14:textFill>
            <w14:solidFill>
              <w14:schemeClr w14:val="tx1"/>
            </w14:solidFill>
          </w14:textFill>
        </w:rPr>
        <w:t>3</w:t>
      </w:r>
      <w:r>
        <w:rPr>
          <w:rFonts w:hint="eastAsia" w:ascii="宋体" w:hAnsi="宋体" w:eastAsia="宋体" w:cs="Calibri"/>
          <w:color w:val="000000" w:themeColor="text1"/>
          <w:kern w:val="0"/>
          <w:sz w:val="28"/>
          <w:szCs w:val="28"/>
          <w:shd w:val="clear" w:color="auto" w:fill="FFFFFF"/>
          <w14:textFill>
            <w14:solidFill>
              <w14:schemeClr w14:val="tx1"/>
            </w14:solidFill>
          </w14:textFill>
        </w:rPr>
        <w:t>、承诺函原件（见附件）。</w:t>
      </w:r>
    </w:p>
    <w:p w14:paraId="324E5FA2">
      <w:pPr>
        <w:pStyle w:val="3"/>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Calibri" w:hAnsi="Calibri" w:eastAsia="微软雅黑" w:cs="Calibri"/>
          <w:color w:val="000000" w:themeColor="text1"/>
          <w:sz w:val="21"/>
          <w:szCs w:val="21"/>
          <w:lang w:val="en-US" w:eastAsia="zh-CN"/>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bidi="ar-SA"/>
          <w14:textFill>
            <w14:solidFill>
              <w14:schemeClr w14:val="tx1"/>
            </w14:solidFill>
          </w14:textFill>
        </w:rPr>
        <w:t>4、</w:t>
      </w:r>
      <w:r>
        <w:rPr>
          <w:rFonts w:hint="eastAsia" w:ascii="宋体" w:hAnsi="宋体" w:eastAsia="宋体" w:cs="宋体"/>
          <w:color w:val="000000" w:themeColor="text1"/>
          <w:spacing w:val="5"/>
          <w:sz w:val="30"/>
          <w:szCs w:val="30"/>
          <w:shd w:val="clear" w:fill="FFFFFF"/>
          <w14:textFill>
            <w14:solidFill>
              <w14:schemeClr w14:val="tx1"/>
            </w14:solidFill>
          </w14:textFill>
        </w:rPr>
        <w:t>《</w:t>
      </w:r>
      <w:r>
        <w:rPr>
          <w:rFonts w:hint="eastAsia" w:ascii="宋体" w:hAnsi="宋体" w:eastAsia="宋体" w:cs="宋体"/>
          <w:color w:val="000000" w:themeColor="text1"/>
          <w:spacing w:val="5"/>
          <w:sz w:val="30"/>
          <w:szCs w:val="30"/>
          <w:shd w:val="clear" w:fill="FFFFFF"/>
          <w:lang w:val="en-US" w:eastAsia="zh-CN"/>
          <w14:textFill>
            <w14:solidFill>
              <w14:schemeClr w14:val="tx1"/>
            </w14:solidFill>
          </w14:textFill>
        </w:rPr>
        <w:t>交易</w:t>
      </w:r>
      <w:r>
        <w:rPr>
          <w:rFonts w:hint="eastAsia" w:ascii="宋体" w:hAnsi="宋体" w:eastAsia="宋体" w:cs="宋体"/>
          <w:color w:val="000000" w:themeColor="text1"/>
          <w:spacing w:val="5"/>
          <w:sz w:val="30"/>
          <w:szCs w:val="30"/>
          <w:shd w:val="clear" w:fill="FFFFFF"/>
          <w14:textFill>
            <w14:solidFill>
              <w14:schemeClr w14:val="tx1"/>
            </w14:solidFill>
          </w14:textFill>
        </w:rPr>
        <w:t>保证金交款凭证》（验原件、留复印件）</w:t>
      </w:r>
    </w:p>
    <w:p w14:paraId="02440353">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b/>
          <w:bCs/>
          <w:color w:val="000000" w:themeColor="text1"/>
          <w:kern w:val="0"/>
          <w:sz w:val="28"/>
          <w:szCs w:val="28"/>
          <w:shd w:val="clear" w:color="auto" w:fill="FFFFFF"/>
          <w14:textFill>
            <w14:solidFill>
              <w14:schemeClr w14:val="tx1"/>
            </w14:solidFill>
          </w14:textFill>
        </w:rPr>
      </w:pPr>
      <w:r>
        <w:rPr>
          <w:rFonts w:hint="eastAsia" w:ascii="宋体" w:hAnsi="宋体" w:eastAsia="宋体" w:cs="Tahoma"/>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Calibri"/>
          <w:b/>
          <w:bCs/>
          <w:color w:val="000000" w:themeColor="text1"/>
          <w:kern w:val="0"/>
          <w:sz w:val="28"/>
          <w:szCs w:val="28"/>
          <w:shd w:val="clear" w:color="auto" w:fill="FFFFFF"/>
          <w:lang w:eastAsia="zh-CN"/>
          <w14:textFill>
            <w14:solidFill>
              <w14:schemeClr w14:val="tx1"/>
            </w14:solidFill>
          </w14:textFill>
        </w:rPr>
        <w:t>十</w:t>
      </w:r>
      <w:r>
        <w:rPr>
          <w:rFonts w:hint="eastAsia" w:ascii="宋体" w:hAnsi="宋体" w:eastAsia="宋体" w:cs="Calibri"/>
          <w:b/>
          <w:bCs/>
          <w:color w:val="000000" w:themeColor="text1"/>
          <w:kern w:val="0"/>
          <w:sz w:val="28"/>
          <w:szCs w:val="28"/>
          <w:shd w:val="clear" w:color="auto" w:fill="FFFFFF"/>
          <w14:textFill>
            <w14:solidFill>
              <w14:schemeClr w14:val="tx1"/>
            </w14:solidFill>
          </w14:textFill>
        </w:rPr>
        <w:t>、成交价款的支付</w:t>
      </w:r>
    </w:p>
    <w:p w14:paraId="60BCABFD">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color w:val="000000" w:themeColor="text1"/>
          <w:kern w:val="0"/>
          <w:sz w:val="28"/>
          <w:szCs w:val="28"/>
          <w:shd w:val="clear" w:color="auto" w:fill="FFFFFF"/>
          <w:lang w:val="en-US" w:eastAsia="zh-CN" w:bidi="ar-SA"/>
          <w14:textFill>
            <w14:solidFill>
              <w14:schemeClr w14:val="tx1"/>
            </w14:solidFill>
          </w14:textFill>
        </w:rPr>
      </w:pPr>
      <w:r>
        <w:rPr>
          <w:rFonts w:hint="eastAsia" w:ascii="宋体" w:hAnsi="宋体" w:eastAsia="宋体" w:cs="Calibri"/>
          <w:color w:val="000000" w:themeColor="text1"/>
          <w:kern w:val="0"/>
          <w:sz w:val="28"/>
          <w:szCs w:val="28"/>
          <w:shd w:val="clear" w:color="auto" w:fill="FFFFFF"/>
          <w:lang w:val="en-US" w:eastAsia="zh-CN" w:bidi="ar-SA"/>
          <w14:textFill>
            <w14:solidFill>
              <w14:schemeClr w14:val="tx1"/>
            </w14:solidFill>
          </w14:textFill>
        </w:rPr>
        <w:t>受让方于签订出让协议时向宁城县汐子镇中心校指定账户一次性全部付清成交价款。</w:t>
      </w:r>
    </w:p>
    <w:p w14:paraId="48DABBD0">
      <w:pPr>
        <w:keepNext w:val="0"/>
        <w:keepLines w:val="0"/>
        <w:pageBreakBefore w:val="0"/>
        <w:widowControl/>
        <w:shd w:val="clear" w:color="auto" w:fill="FFFFFF"/>
        <w:kinsoku/>
        <w:wordWrap w:val="0"/>
        <w:overflowPunct/>
        <w:topLinePunct w:val="0"/>
        <w:autoSpaceDE/>
        <w:autoSpaceDN/>
        <w:bidi w:val="0"/>
        <w:adjustRightInd/>
        <w:snapToGrid/>
        <w:spacing w:line="580" w:lineRule="exact"/>
        <w:ind w:firstLine="560"/>
        <w:jc w:val="left"/>
        <w:textAlignment w:val="auto"/>
        <w:rPr>
          <w:rFonts w:hint="eastAsia" w:ascii="宋体" w:hAnsi="宋体" w:eastAsia="宋体" w:cs="Calibri"/>
          <w:b/>
          <w:bCs/>
          <w:color w:val="000000" w:themeColor="text1"/>
          <w:kern w:val="0"/>
          <w:sz w:val="28"/>
          <w:szCs w:val="28"/>
          <w:shd w:val="clear" w:color="auto" w:fill="FFFFFF"/>
          <w14:textFill>
            <w14:solidFill>
              <w14:schemeClr w14:val="tx1"/>
            </w14:solidFill>
          </w14:textFill>
        </w:rPr>
      </w:pPr>
      <w:r>
        <w:rPr>
          <w:rFonts w:hint="eastAsia" w:ascii="宋体" w:hAnsi="宋体" w:eastAsia="宋体" w:cs="Calibri"/>
          <w:b/>
          <w:bCs/>
          <w:color w:val="000000" w:themeColor="text1"/>
          <w:kern w:val="0"/>
          <w:sz w:val="28"/>
          <w:szCs w:val="28"/>
          <w:shd w:val="clear" w:color="auto" w:fill="FFFFFF"/>
          <w14:textFill>
            <w14:solidFill>
              <w14:schemeClr w14:val="tx1"/>
            </w14:solidFill>
          </w14:textFill>
        </w:rPr>
        <w:t>十</w:t>
      </w:r>
      <w:r>
        <w:rPr>
          <w:rFonts w:hint="eastAsia" w:ascii="宋体" w:hAnsi="宋体" w:eastAsia="宋体" w:cs="Calibri"/>
          <w:b/>
          <w:bCs/>
          <w:color w:val="000000" w:themeColor="text1"/>
          <w:kern w:val="0"/>
          <w:sz w:val="28"/>
          <w:szCs w:val="28"/>
          <w:shd w:val="clear" w:color="auto" w:fill="FFFFFF"/>
          <w:lang w:val="en-US" w:eastAsia="zh-CN"/>
          <w14:textFill>
            <w14:solidFill>
              <w14:schemeClr w14:val="tx1"/>
            </w14:solidFill>
          </w14:textFill>
        </w:rPr>
        <w:t>一</w:t>
      </w:r>
      <w:r>
        <w:rPr>
          <w:rFonts w:hint="eastAsia" w:ascii="宋体" w:hAnsi="宋体" w:eastAsia="宋体" w:cs="Calibri"/>
          <w:b/>
          <w:bCs/>
          <w:color w:val="000000" w:themeColor="text1"/>
          <w:kern w:val="0"/>
          <w:sz w:val="28"/>
          <w:szCs w:val="28"/>
          <w:shd w:val="clear" w:color="auto" w:fill="FFFFFF"/>
          <w14:textFill>
            <w14:solidFill>
              <w14:schemeClr w14:val="tx1"/>
            </w14:solidFill>
          </w14:textFill>
        </w:rPr>
        <w:t xml:space="preserve">、资格确认 </w:t>
      </w:r>
    </w:p>
    <w:p w14:paraId="77FF3E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562"/>
        <w:jc w:val="left"/>
        <w:textAlignment w:val="auto"/>
        <w:rPr>
          <w:rFonts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成交后，</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受让方</w:t>
      </w:r>
      <w:r>
        <w:rPr>
          <w:rFonts w:hint="eastAsia" w:ascii="宋体" w:hAnsi="宋体" w:eastAsia="宋体" w:cs="宋体"/>
          <w:color w:val="000000" w:themeColor="text1"/>
          <w:sz w:val="28"/>
          <w:szCs w:val="28"/>
          <w:shd w:val="clear" w:fill="FFFFFF"/>
          <w14:textFill>
            <w14:solidFill>
              <w14:schemeClr w14:val="tx1"/>
            </w14:solidFill>
          </w14:textFill>
        </w:rPr>
        <w:t>持申请登记时上传的相关材料原件及复印件</w:t>
      </w:r>
      <w:r>
        <w:rPr>
          <w:rFonts w:hint="default" w:ascii="Calibri" w:hAnsi="Calibri" w:eastAsia="微软雅黑" w:cs="Calibri"/>
          <w:color w:val="000000" w:themeColor="text1"/>
          <w:sz w:val="28"/>
          <w:szCs w:val="28"/>
          <w:shd w:val="clear" w:fill="FFFFFF"/>
          <w14:textFill>
            <w14:solidFill>
              <w14:schemeClr w14:val="tx1"/>
            </w14:solidFill>
          </w14:textFill>
        </w:rPr>
        <w:t>(</w:t>
      </w:r>
      <w:r>
        <w:rPr>
          <w:rFonts w:hint="eastAsia" w:ascii="宋体" w:hAnsi="宋体" w:eastAsia="宋体" w:cs="宋体"/>
          <w:color w:val="000000" w:themeColor="text1"/>
          <w:sz w:val="28"/>
          <w:szCs w:val="28"/>
          <w:shd w:val="clear" w:fill="FFFFFF"/>
          <w14:textFill>
            <w14:solidFill>
              <w14:schemeClr w14:val="tx1"/>
            </w14:solidFill>
          </w14:textFill>
        </w:rPr>
        <w:t>申请人为企业法人的加盖公章</w:t>
      </w:r>
      <w:r>
        <w:rPr>
          <w:rFonts w:hint="default" w:ascii="Calibri" w:hAnsi="Calibri" w:eastAsia="微软雅黑" w:cs="Calibri"/>
          <w:color w:val="000000" w:themeColor="text1"/>
          <w:sz w:val="28"/>
          <w:szCs w:val="28"/>
          <w:shd w:val="clear" w:fill="FFFFFF"/>
          <w14:textFill>
            <w14:solidFill>
              <w14:schemeClr w14:val="tx1"/>
            </w14:solidFill>
          </w14:textFill>
        </w:rPr>
        <w:t>)</w:t>
      </w:r>
      <w:r>
        <w:rPr>
          <w:rFonts w:hint="eastAsia" w:ascii="宋体" w:hAnsi="宋体" w:eastAsia="宋体" w:cs="宋体"/>
          <w:color w:val="000000" w:themeColor="text1"/>
          <w:sz w:val="28"/>
          <w:szCs w:val="28"/>
          <w:shd w:val="clear" w:fill="FFFFFF"/>
          <w14:textFill>
            <w14:solidFill>
              <w14:schemeClr w14:val="tx1"/>
            </w14:solidFill>
          </w14:textFill>
        </w:rPr>
        <w:t>到宁城县公共资源交易中心进行资格确认。</w:t>
      </w:r>
    </w:p>
    <w:p w14:paraId="677211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562"/>
        <w:jc w:val="left"/>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地址：宁城县天义镇哈河大街</w:t>
      </w:r>
      <w:r>
        <w:rPr>
          <w:rFonts w:hint="default" w:ascii="Calibri" w:hAnsi="Calibri" w:eastAsia="宋体" w:cs="Calibri"/>
          <w:color w:val="000000" w:themeColor="text1"/>
          <w:sz w:val="28"/>
          <w:szCs w:val="28"/>
          <w:shd w:val="clear" w:fill="FFFFFF"/>
          <w14:textFill>
            <w14:solidFill>
              <w14:schemeClr w14:val="tx1"/>
            </w14:solidFill>
          </w14:textFill>
        </w:rPr>
        <w:t>109</w:t>
      </w:r>
      <w:r>
        <w:rPr>
          <w:rFonts w:hint="eastAsia" w:ascii="宋体" w:hAnsi="宋体" w:eastAsia="宋体" w:cs="宋体"/>
          <w:color w:val="000000" w:themeColor="text1"/>
          <w:sz w:val="28"/>
          <w:szCs w:val="28"/>
          <w:shd w:val="clear" w:fill="FFFFFF"/>
          <w14:textFill>
            <w14:solidFill>
              <w14:schemeClr w14:val="tx1"/>
            </w14:solidFill>
          </w14:textFill>
        </w:rPr>
        <w:t>号宁城县公共资源交易中心</w:t>
      </w:r>
      <w:r>
        <w:rPr>
          <w:rFonts w:hint="default" w:ascii="Calibri" w:hAnsi="Calibri" w:eastAsia="宋体" w:cs="Calibri"/>
          <w:color w:val="000000" w:themeColor="text1"/>
          <w:sz w:val="28"/>
          <w:szCs w:val="28"/>
          <w:shd w:val="clear" w:fill="FFFFFF"/>
          <w14:textFill>
            <w14:solidFill>
              <w14:schemeClr w14:val="tx1"/>
            </w14:solidFill>
          </w14:textFill>
        </w:rPr>
        <w:t>9</w:t>
      </w:r>
      <w:r>
        <w:rPr>
          <w:rFonts w:hint="default" w:ascii="Calibri" w:hAnsi="Calibri" w:eastAsia="微软雅黑" w:cs="Calibri"/>
          <w:color w:val="000000" w:themeColor="text1"/>
          <w:sz w:val="28"/>
          <w:szCs w:val="28"/>
          <w:shd w:val="clear" w:fill="FFFFFF"/>
          <w14:textFill>
            <w14:solidFill>
              <w14:schemeClr w14:val="tx1"/>
            </w14:solidFill>
          </w14:textFill>
        </w:rPr>
        <w:t>23</w:t>
      </w:r>
    </w:p>
    <w:p w14:paraId="43E595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eastAsia" w:ascii="Calibri" w:hAnsi="Calibri" w:eastAsia="宋体" w:cs="Calibri"/>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联系人：</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孙浩滨</w:t>
      </w:r>
    </w:p>
    <w:p w14:paraId="4560F8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电</w:t>
      </w:r>
      <w:r>
        <w:rPr>
          <w:rFonts w:hint="default" w:ascii="Calibri" w:hAnsi="Calibri" w:eastAsia="宋体" w:cs="Calibri"/>
          <w:color w:val="000000" w:themeColor="text1"/>
          <w:sz w:val="28"/>
          <w:szCs w:val="28"/>
          <w:shd w:val="clear" w:fill="FFFFFF"/>
          <w14:textFill>
            <w14:solidFill>
              <w14:schemeClr w14:val="tx1"/>
            </w14:solidFill>
          </w14:textFill>
        </w:rPr>
        <w:t>  </w:t>
      </w:r>
      <w:r>
        <w:rPr>
          <w:rFonts w:hint="eastAsia" w:ascii="宋体" w:hAnsi="宋体" w:eastAsia="宋体" w:cs="宋体"/>
          <w:color w:val="000000" w:themeColor="text1"/>
          <w:sz w:val="28"/>
          <w:szCs w:val="28"/>
          <w:shd w:val="clear" w:fill="FFFFFF"/>
          <w14:textFill>
            <w14:solidFill>
              <w14:schemeClr w14:val="tx1"/>
            </w14:solidFill>
          </w14:textFill>
        </w:rPr>
        <w:t>话：</w:t>
      </w:r>
      <w:r>
        <w:rPr>
          <w:rFonts w:hint="default" w:ascii="Calibri" w:hAnsi="Calibri" w:eastAsia="宋体" w:cs="Calibri"/>
          <w:color w:val="000000" w:themeColor="text1"/>
          <w:sz w:val="28"/>
          <w:szCs w:val="28"/>
          <w:shd w:val="clear" w:fill="FFFFFF"/>
          <w14:textFill>
            <w14:solidFill>
              <w14:schemeClr w14:val="tx1"/>
            </w14:solidFill>
          </w14:textFill>
        </w:rPr>
        <w:t>0476-42550</w:t>
      </w:r>
      <w:r>
        <w:rPr>
          <w:rFonts w:hint="default" w:ascii="Calibri" w:hAnsi="Calibri" w:eastAsia="微软雅黑" w:cs="Calibri"/>
          <w:color w:val="000000" w:themeColor="text1"/>
          <w:sz w:val="28"/>
          <w:szCs w:val="28"/>
          <w:shd w:val="clear" w:fill="FFFFFF"/>
          <w14:textFill>
            <w14:solidFill>
              <w14:schemeClr w14:val="tx1"/>
            </w14:solidFill>
          </w14:textFill>
        </w:rPr>
        <w:t>76</w:t>
      </w:r>
    </w:p>
    <w:p w14:paraId="4C8ACE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发布单位：宁城县公共资源交易中心</w:t>
      </w:r>
    </w:p>
    <w:p w14:paraId="220B2D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left="0" w:right="0" w:firstLine="600"/>
        <w:jc w:val="left"/>
        <w:textAlignment w:val="auto"/>
        <w:rPr>
          <w:rFonts w:hint="default" w:ascii="Calibri" w:hAnsi="Calibri" w:cs="Calibri"/>
          <w:color w:val="000000" w:themeColor="text1"/>
          <w:sz w:val="24"/>
          <w:szCs w:val="24"/>
          <w14:textFill>
            <w14:solidFill>
              <w14:schemeClr w14:val="tx1"/>
            </w14:solidFill>
          </w14:textFill>
        </w:rPr>
      </w:pPr>
      <w:r>
        <w:rPr>
          <w:rFonts w:hint="eastAsia" w:ascii="宋体" w:hAnsi="宋体" w:eastAsia="宋体" w:cs="宋体"/>
          <w:color w:val="000000" w:themeColor="text1"/>
          <w:sz w:val="28"/>
          <w:szCs w:val="28"/>
          <w:shd w:val="clear" w:fill="FFFFFF"/>
          <w14:textFill>
            <w14:solidFill>
              <w14:schemeClr w14:val="tx1"/>
            </w14:solidFill>
          </w14:textFill>
        </w:rPr>
        <w:t>发布时间：</w:t>
      </w:r>
      <w:r>
        <w:rPr>
          <w:rFonts w:hint="default" w:ascii="Calibri" w:hAnsi="Calibri" w:eastAsia="宋体" w:cs="Calibri"/>
          <w:color w:val="000000" w:themeColor="text1"/>
          <w:sz w:val="28"/>
          <w:szCs w:val="28"/>
          <w:shd w:val="clear" w:fill="FFFFFF"/>
          <w14:textFill>
            <w14:solidFill>
              <w14:schemeClr w14:val="tx1"/>
            </w14:solidFill>
          </w14:textFill>
        </w:rPr>
        <w:t>2025</w:t>
      </w:r>
      <w:r>
        <w:rPr>
          <w:rFonts w:hint="eastAsia" w:ascii="宋体" w:hAnsi="宋体" w:eastAsia="宋体" w:cs="宋体"/>
          <w:color w:val="000000" w:themeColor="text1"/>
          <w:sz w:val="28"/>
          <w:szCs w:val="28"/>
          <w:shd w:val="clear" w:fill="FFFFFF"/>
          <w14:textFill>
            <w14:solidFill>
              <w14:schemeClr w14:val="tx1"/>
            </w14:solidFill>
          </w14:textFill>
        </w:rPr>
        <w:t>年</w:t>
      </w:r>
      <w:r>
        <w:rPr>
          <w:rFonts w:hint="eastAsia" w:ascii="Calibri" w:hAnsi="Calibri" w:eastAsia="宋体" w:cs="Calibri"/>
          <w:color w:val="000000" w:themeColor="text1"/>
          <w:sz w:val="28"/>
          <w:szCs w:val="28"/>
          <w:shd w:val="clear" w:fill="FFFFFF"/>
          <w:lang w:val="en-US" w:eastAsia="zh-CN"/>
          <w14:textFill>
            <w14:solidFill>
              <w14:schemeClr w14:val="tx1"/>
            </w14:solidFill>
          </w14:textFill>
        </w:rPr>
        <w:t>11</w:t>
      </w:r>
      <w:r>
        <w:rPr>
          <w:rFonts w:hint="eastAsia" w:ascii="宋体" w:hAnsi="宋体" w:eastAsia="宋体" w:cs="宋体"/>
          <w:color w:val="000000" w:themeColor="text1"/>
          <w:sz w:val="28"/>
          <w:szCs w:val="28"/>
          <w:shd w:val="clear" w:fill="FFFFFF"/>
          <w14:textFill>
            <w14:solidFill>
              <w14:schemeClr w14:val="tx1"/>
            </w14:solidFill>
          </w14:textFill>
        </w:rPr>
        <w:t>月</w:t>
      </w:r>
      <w:r>
        <w:rPr>
          <w:rFonts w:hint="eastAsia" w:ascii="宋体" w:hAnsi="宋体" w:eastAsia="宋体" w:cs="宋体"/>
          <w:color w:val="000000" w:themeColor="text1"/>
          <w:sz w:val="28"/>
          <w:szCs w:val="28"/>
          <w:shd w:val="clear" w:fill="FFFFFF"/>
          <w:lang w:val="en-US" w:eastAsia="zh-CN"/>
          <w14:textFill>
            <w14:solidFill>
              <w14:schemeClr w14:val="tx1"/>
            </w14:solidFill>
          </w14:textFill>
        </w:rPr>
        <w:t>10</w:t>
      </w:r>
      <w:r>
        <w:rPr>
          <w:rFonts w:hint="eastAsia" w:ascii="宋体" w:hAnsi="宋体" w:eastAsia="宋体" w:cs="宋体"/>
          <w:color w:val="000000" w:themeColor="text1"/>
          <w:sz w:val="28"/>
          <w:szCs w:val="28"/>
          <w:shd w:val="clear" w:fill="FFFFFF"/>
          <w14:textFill>
            <w14:solidFill>
              <w14:schemeClr w14:val="tx1"/>
            </w14:solidFill>
          </w14:textFill>
        </w:rPr>
        <w:t>日</w:t>
      </w:r>
    </w:p>
    <w:p w14:paraId="0FD1C416">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80" w:lineRule="exact"/>
        <w:ind w:left="0" w:right="0"/>
        <w:jc w:val="both"/>
        <w:textAlignment w:val="auto"/>
        <w:rPr>
          <w:rFonts w:hint="default" w:ascii="Calibri" w:hAnsi="Calibri" w:cs="Calibri"/>
          <w:color w:val="000000" w:themeColor="text1"/>
          <w:sz w:val="21"/>
          <w:szCs w:val="21"/>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   </w:t>
      </w:r>
      <w:r>
        <w:rPr>
          <w:rFonts w:hint="eastAsia" w:ascii="宋体" w:hAnsi="宋体" w:eastAsia="宋体" w:cs="宋体"/>
          <w:color w:val="000000" w:themeColor="text1"/>
          <w:sz w:val="28"/>
          <w:szCs w:val="28"/>
          <w:shd w:val="clear" w:fill="FFFFFF"/>
          <w14:textFill>
            <w14:solidFill>
              <w14:schemeClr w14:val="tx1"/>
            </w14:solidFill>
          </w14:textFill>
        </w:rPr>
        <w:t>优化营商环境热线电话：12345</w:t>
      </w:r>
    </w:p>
    <w:p w14:paraId="693E3FBB">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80" w:lineRule="exact"/>
        <w:ind w:left="0" w:right="0"/>
        <w:jc w:val="both"/>
        <w:textAlignment w:val="auto"/>
        <w:rPr>
          <w:rFonts w:hint="default" w:eastAsia="宋体"/>
          <w:color w:val="000000" w:themeColor="text1"/>
          <w:spacing w:val="-1"/>
          <w:lang w:val="en-US" w:eastAsia="zh-CN"/>
          <w14:textFill>
            <w14:solidFill>
              <w14:schemeClr w14:val="tx1"/>
            </w14:solidFill>
          </w14:textFill>
        </w:rPr>
        <w:sectPr>
          <w:pgSz w:w="11900" w:h="16830"/>
          <w:pgMar w:top="1440" w:right="1463" w:bottom="1440" w:left="1463" w:header="0" w:footer="0" w:gutter="0"/>
          <w:cols w:space="0" w:num="1"/>
          <w:rtlGutter w:val="0"/>
          <w:docGrid w:linePitch="0" w:charSpace="0"/>
        </w:sectPr>
      </w:pPr>
    </w:p>
    <w:p w14:paraId="40D14EE2">
      <w:pPr>
        <w:keepNext w:val="0"/>
        <w:keepLines w:val="0"/>
        <w:pageBreakBefore w:val="0"/>
        <w:kinsoku/>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p>
    <w:sectPr>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E1F02"/>
    <w:rsid w:val="0B024B2F"/>
    <w:rsid w:val="12DE15D3"/>
    <w:rsid w:val="14E20DEA"/>
    <w:rsid w:val="18814EDA"/>
    <w:rsid w:val="1DD16EF5"/>
    <w:rsid w:val="2221328A"/>
    <w:rsid w:val="24002580"/>
    <w:rsid w:val="36211653"/>
    <w:rsid w:val="3A611DE7"/>
    <w:rsid w:val="3B443E1A"/>
    <w:rsid w:val="3BB34B5A"/>
    <w:rsid w:val="3E43485C"/>
    <w:rsid w:val="3FE94F8F"/>
    <w:rsid w:val="40C92D9B"/>
    <w:rsid w:val="41D65D84"/>
    <w:rsid w:val="44D22496"/>
    <w:rsid w:val="46365658"/>
    <w:rsid w:val="4AC76815"/>
    <w:rsid w:val="4E5B3DE4"/>
    <w:rsid w:val="4F1D395D"/>
    <w:rsid w:val="501C4F0D"/>
    <w:rsid w:val="5FFC4413"/>
    <w:rsid w:val="60806DF2"/>
    <w:rsid w:val="61B34FA6"/>
    <w:rsid w:val="64327C58"/>
    <w:rsid w:val="6B182A49"/>
    <w:rsid w:val="6D716441"/>
    <w:rsid w:val="6EF1271F"/>
    <w:rsid w:val="6F777D4F"/>
    <w:rsid w:val="75C513D3"/>
    <w:rsid w:val="7B4707E1"/>
    <w:rsid w:val="7E0D4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5"/>
      <w:szCs w:val="25"/>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8">
    <w:name w:val="a_p_1"/>
    <w:basedOn w:val="5"/>
    <w:qFormat/>
    <w:uiPriority w:val="0"/>
    <w:rPr>
      <w:sz w:val="27"/>
      <w:szCs w:val="27"/>
    </w:rPr>
  </w:style>
  <w:style w:type="character" w:customStyle="1" w:styleId="9">
    <w:name w:val="a_p_2"/>
    <w:basedOn w:val="5"/>
    <w:qFormat/>
    <w:uiPriority w:val="0"/>
  </w:style>
  <w:style w:type="character" w:customStyle="1" w:styleId="10">
    <w:name w:val="a_p_21"/>
    <w:basedOn w:val="5"/>
    <w:qFormat/>
    <w:uiPriority w:val="0"/>
    <w:rPr>
      <w:sz w:val="27"/>
      <w:szCs w:val="27"/>
    </w:rPr>
  </w:style>
  <w:style w:type="character" w:customStyle="1" w:styleId="11">
    <w:name w:val="ul_li_a_1"/>
    <w:basedOn w:val="5"/>
    <w:qFormat/>
    <w:uiPriority w:val="0"/>
    <w:rPr>
      <w:b/>
      <w:bCs/>
      <w:color w:val="FFFFFF"/>
    </w:rPr>
  </w:style>
  <w:style w:type="character" w:customStyle="1" w:styleId="12">
    <w:name w:val="exap"/>
    <w:basedOn w:val="5"/>
    <w:qFormat/>
    <w:uiPriority w:val="0"/>
    <w:rPr>
      <w:sz w:val="27"/>
      <w:szCs w:val="27"/>
    </w:rPr>
  </w:style>
  <w:style w:type="character" w:customStyle="1" w:styleId="13">
    <w:name w:val="a_p_3"/>
    <w:basedOn w:val="5"/>
    <w:qFormat/>
    <w:uiPriority w:val="0"/>
    <w:rPr>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2264</Words>
  <Characters>2409</Characters>
  <Lines>0</Lines>
  <Paragraphs>0</Paragraphs>
  <TotalTime>5</TotalTime>
  <ScaleCrop>false</ScaleCrop>
  <LinksUpToDate>false</LinksUpToDate>
  <CharactersWithSpaces>2429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2025-07-22T02:31:00Z</dcterms:created>
  <dc:creator>admin</dc:creator>
  <cp:lastModifiedBy>微信用户</cp:lastModifiedBy>
  <dcterms:modified xsi:type="dcterms:W3CDTF">2025-11-10T02:44:46Z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eyJoZGlkIjoiODg1ZjRiMWIzNzNiOTAwMzkzYmJmYWQ0NmY4ZTE2ZGEiLCJ1c2VySWQiOiIxMjg3MjMxMjM3In0=</vt:lpwstr>
  </property>
  <property fmtid="{D5CDD505-2E9C-101B-9397-08002B2CF9AE}" pid="4" name="ICV">
    <vt:lpwstr>9468391B64B145DC8C868523A551452B_13</vt:lpwstr>
  </property>
</Properties>
</file>