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1CBF4">
      <w:pPr>
        <w:widowControl w:val="0"/>
        <w:adjustRightInd w:val="0"/>
        <w:snapToGrid w:val="0"/>
        <w:spacing w:line="360" w:lineRule="auto"/>
        <w:jc w:val="center"/>
        <w:rPr>
          <w:rFonts w:ascii="仿宋" w:hAnsi="仿宋" w:eastAsia="仿宋" w:cs="仿宋"/>
          <w:b/>
          <w:bCs/>
          <w:sz w:val="32"/>
          <w:szCs w:val="32"/>
        </w:rPr>
      </w:pPr>
      <w:r>
        <w:rPr>
          <w:rFonts w:hint="eastAsia" w:ascii="仿宋" w:hAnsi="仿宋" w:eastAsia="仿宋" w:cs="仿宋"/>
          <w:b/>
          <w:bCs/>
          <w:sz w:val="32"/>
          <w:szCs w:val="32"/>
        </w:rPr>
        <w:t>巴林右旗蒙东物流集配中心（京东云仓）仓储库房出租项目</w:t>
      </w:r>
    </w:p>
    <w:p w14:paraId="7B684B58">
      <w:pPr>
        <w:widowControl w:val="0"/>
        <w:adjustRightInd w:val="0"/>
        <w:snapToGrid w:val="0"/>
        <w:spacing w:line="360" w:lineRule="auto"/>
        <w:jc w:val="center"/>
        <w:rPr>
          <w:rFonts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租赁</w:t>
      </w:r>
      <w:r>
        <w:rPr>
          <w:rFonts w:hint="eastAsia" w:ascii="仿宋" w:hAnsi="仿宋" w:eastAsia="仿宋" w:cs="仿宋"/>
          <w:b/>
          <w:bCs/>
          <w:sz w:val="32"/>
          <w:szCs w:val="32"/>
          <w:highlight w:val="none"/>
        </w:rPr>
        <w:t>合同</w:t>
      </w:r>
    </w:p>
    <w:p w14:paraId="44B740EA">
      <w:pPr>
        <w:widowControl w:val="0"/>
        <w:adjustRightInd w:val="0"/>
        <w:snapToGrid w:val="0"/>
        <w:spacing w:line="360" w:lineRule="auto"/>
        <w:ind w:firstLine="560" w:firstLineChars="200"/>
        <w:rPr>
          <w:rFonts w:hint="eastAsia" w:ascii="仿宋" w:hAnsi="仿宋" w:eastAsia="仿宋" w:cs="仿宋"/>
          <w:sz w:val="28"/>
          <w:szCs w:val="28"/>
        </w:rPr>
      </w:pPr>
    </w:p>
    <w:p w14:paraId="3EC94AEE">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出租方（以下简称甲方）：巴林右旗万晟国有资本运营集团有限责任公司</w:t>
      </w:r>
    </w:p>
    <w:p w14:paraId="5CC4A49E">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公司地址：</w:t>
      </w:r>
      <w:r>
        <w:rPr>
          <w:rFonts w:hint="eastAsia" w:ascii="仿宋" w:hAnsi="仿宋" w:eastAsia="仿宋" w:cs="仿宋"/>
          <w:sz w:val="32"/>
          <w:szCs w:val="32"/>
        </w:rPr>
        <w:t>内蒙古自治区赤峰市巴林右旗索博日嘎街北投资促进服务中心</w:t>
      </w:r>
      <w:r>
        <w:rPr>
          <w:rFonts w:hint="eastAsia" w:ascii="仿宋" w:hAnsi="仿宋" w:eastAsia="仿宋" w:cs="仿宋"/>
          <w:sz w:val="32"/>
          <w:szCs w:val="32"/>
          <w:lang w:val="en-US" w:eastAsia="zh-CN"/>
        </w:rPr>
        <w:t>4</w:t>
      </w:r>
      <w:r>
        <w:rPr>
          <w:rFonts w:hint="eastAsia" w:ascii="仿宋" w:hAnsi="仿宋" w:eastAsia="仿宋" w:cs="仿宋"/>
          <w:sz w:val="32"/>
          <w:szCs w:val="32"/>
        </w:rPr>
        <w:t>楼</w:t>
      </w:r>
    </w:p>
    <w:p w14:paraId="3AE28B7F">
      <w:pPr>
        <w:widowControl w:val="0"/>
        <w:adjustRightInd w:val="0"/>
        <w:snapToGrid w:val="0"/>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王艳杰</w:t>
      </w:r>
    </w:p>
    <w:p w14:paraId="4773DFF1">
      <w:pPr>
        <w:widowControl w:val="0"/>
        <w:adjustRightInd w:val="0"/>
        <w:snapToGrid w:val="0"/>
        <w:spacing w:line="360" w:lineRule="auto"/>
        <w:ind w:firstLine="560" w:firstLineChars="200"/>
        <w:rPr>
          <w:rFonts w:hint="eastAsia" w:ascii="仿宋" w:hAnsi="仿宋" w:eastAsia="仿宋" w:cs="仿宋"/>
          <w:sz w:val="28"/>
          <w:szCs w:val="28"/>
        </w:rPr>
      </w:pPr>
    </w:p>
    <w:p w14:paraId="2013246D">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承租方（以下简称乙方）：******  </w:t>
      </w:r>
    </w:p>
    <w:p w14:paraId="3A2EF465">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法定代表人（负责人）：******  </w:t>
      </w:r>
    </w:p>
    <w:p w14:paraId="4D703955">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w:t>
      </w:r>
    </w:p>
    <w:p w14:paraId="2CF8781A">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住所地：******</w:t>
      </w:r>
    </w:p>
    <w:p w14:paraId="630BCFE0">
      <w:pPr>
        <w:widowControl w:val="0"/>
        <w:adjustRightInd w:val="0"/>
        <w:snapToGrid w:val="0"/>
        <w:spacing w:line="360" w:lineRule="auto"/>
        <w:ind w:firstLine="560" w:firstLineChars="200"/>
        <w:rPr>
          <w:rFonts w:hint="eastAsia" w:ascii="仿宋" w:hAnsi="仿宋" w:eastAsia="仿宋" w:cs="仿宋"/>
          <w:sz w:val="28"/>
          <w:szCs w:val="28"/>
          <w:lang w:val="en-US" w:eastAsia="zh-CN"/>
        </w:rPr>
      </w:pPr>
    </w:p>
    <w:p w14:paraId="2B9311B1">
      <w:pPr>
        <w:widowControl w:val="0"/>
        <w:adjustRightInd w:val="0"/>
        <w:snapToGrid w:val="0"/>
        <w:spacing w:line="360" w:lineRule="auto"/>
        <w:ind w:firstLine="560" w:firstLineChars="200"/>
        <w:rPr>
          <w:rFonts w:hint="eastAsia" w:ascii="仿宋" w:hAnsi="仿宋" w:eastAsia="仿宋" w:cs="仿宋"/>
          <w:sz w:val="28"/>
          <w:szCs w:val="28"/>
        </w:rPr>
      </w:pPr>
    </w:p>
    <w:p w14:paraId="1EBDF5D2">
      <w:pPr>
        <w:widowControl w:val="0"/>
        <w:adjustRightInd w:val="0"/>
        <w:snapToGrid w:val="0"/>
        <w:spacing w:line="360" w:lineRule="auto"/>
        <w:ind w:firstLine="560" w:firstLineChars="200"/>
        <w:rPr>
          <w:rFonts w:hint="eastAsia" w:ascii="仿宋" w:hAnsi="仿宋" w:eastAsia="仿宋" w:cs="仿宋"/>
          <w:b/>
          <w:bCs/>
          <w:sz w:val="28"/>
          <w:szCs w:val="28"/>
        </w:rPr>
      </w:pPr>
      <w:r>
        <w:rPr>
          <w:rFonts w:hint="eastAsia" w:ascii="仿宋" w:hAnsi="仿宋" w:eastAsia="仿宋" w:cs="仿宋"/>
          <w:sz w:val="28"/>
          <w:szCs w:val="28"/>
        </w:rPr>
        <w:t>甲乙双方就乙方承租</w:t>
      </w:r>
      <w:r>
        <w:rPr>
          <w:rFonts w:hint="eastAsia" w:ascii="仿宋" w:hAnsi="仿宋" w:eastAsia="仿宋" w:cs="仿宋"/>
          <w:b/>
          <w:bCs/>
          <w:sz w:val="28"/>
          <w:szCs w:val="28"/>
        </w:rPr>
        <w:t>巴林右旗蒙东物流集配中心（京东云仓）仓储库房出租</w:t>
      </w:r>
      <w:r>
        <w:rPr>
          <w:rFonts w:hint="eastAsia" w:ascii="仿宋" w:hAnsi="仿宋" w:eastAsia="仿宋" w:cs="仿宋"/>
          <w:sz w:val="28"/>
          <w:szCs w:val="28"/>
        </w:rPr>
        <w:t>之事</w:t>
      </w:r>
      <w:r>
        <w:rPr>
          <w:rFonts w:hint="eastAsia" w:ascii="仿宋" w:hAnsi="仿宋" w:eastAsia="仿宋" w:cs="仿宋"/>
          <w:sz w:val="28"/>
          <w:szCs w:val="28"/>
          <w:lang w:val="en-US" w:eastAsia="zh-CN"/>
        </w:rPr>
        <w:t>依据《中华人民共和国民法典》合同编及有关法律法规的规定，在平等</w:t>
      </w:r>
      <w:r>
        <w:rPr>
          <w:rFonts w:hint="eastAsia" w:ascii="仿宋" w:hAnsi="仿宋" w:eastAsia="仿宋" w:cs="仿宋"/>
          <w:sz w:val="28"/>
          <w:szCs w:val="28"/>
        </w:rPr>
        <w:t>、自愿的基础上达成如下一致意见，供双方共同遵守执行。</w:t>
      </w:r>
    </w:p>
    <w:p w14:paraId="6E75827C">
      <w:pPr>
        <w:widowControl w:val="0"/>
        <w:adjustRightInd w:val="0"/>
        <w:snapToGrid w:val="0"/>
        <w:spacing w:line="360"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第一条  租赁内容</w:t>
      </w:r>
    </w:p>
    <w:p w14:paraId="725CA591">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1、甲方将位于</w:t>
      </w:r>
      <w:r>
        <w:rPr>
          <w:rFonts w:hint="eastAsia" w:ascii="仿宋" w:hAnsi="仿宋" w:eastAsia="仿宋" w:cs="仿宋"/>
          <w:sz w:val="28"/>
          <w:szCs w:val="28"/>
          <w:lang w:val="en-US" w:eastAsia="zh-CN"/>
        </w:rPr>
        <w:t>巴林右旗物流园区</w:t>
      </w:r>
      <w:r>
        <w:rPr>
          <w:rFonts w:hint="eastAsia" w:ascii="仿宋" w:hAnsi="仿宋" w:eastAsia="仿宋" w:cs="仿宋"/>
          <w:sz w:val="28"/>
          <w:szCs w:val="28"/>
        </w:rPr>
        <w:t>的</w:t>
      </w:r>
      <w:r>
        <w:rPr>
          <w:rFonts w:hint="eastAsia" w:ascii="仿宋" w:hAnsi="仿宋" w:eastAsia="仿宋" w:cs="仿宋"/>
          <w:sz w:val="28"/>
          <w:szCs w:val="28"/>
          <w:lang w:val="en-US" w:eastAsia="zh-CN"/>
        </w:rPr>
        <w:t>粮油仓储库房</w:t>
      </w:r>
      <w:r>
        <w:rPr>
          <w:rFonts w:hint="eastAsia" w:ascii="仿宋" w:hAnsi="仿宋" w:eastAsia="仿宋" w:cs="仿宋"/>
          <w:sz w:val="28"/>
          <w:szCs w:val="28"/>
        </w:rPr>
        <w:t>租赁给乙方，甲方对所出租的</w:t>
      </w:r>
      <w:r>
        <w:rPr>
          <w:rFonts w:hint="eastAsia" w:ascii="仿宋" w:hAnsi="仿宋" w:eastAsia="仿宋" w:cs="仿宋"/>
          <w:sz w:val="28"/>
          <w:szCs w:val="28"/>
          <w:lang w:val="en-US" w:eastAsia="zh-CN"/>
        </w:rPr>
        <w:t>粮油仓储库房</w:t>
      </w:r>
      <w:r>
        <w:rPr>
          <w:rFonts w:hint="eastAsia" w:ascii="仿宋" w:hAnsi="仿宋" w:eastAsia="仿宋" w:cs="仿宋"/>
          <w:sz w:val="28"/>
          <w:szCs w:val="28"/>
        </w:rPr>
        <w:t>具有合法产权。</w:t>
      </w:r>
    </w:p>
    <w:p w14:paraId="2FF9CD1D">
      <w:pPr>
        <w:widowControl w:val="0"/>
        <w:adjustRightInd w:val="0"/>
        <w:snapToGrid w:val="0"/>
        <w:spacing w:line="360" w:lineRule="auto"/>
        <w:ind w:firstLine="560" w:firstLineChars="200"/>
        <w:rPr>
          <w:rFonts w:ascii="仿宋" w:hAnsi="仿宋" w:eastAsia="仿宋" w:cs="仿宋"/>
          <w:color w:val="auto"/>
          <w:sz w:val="28"/>
          <w:szCs w:val="28"/>
          <w:highlight w:val="yellow"/>
        </w:rPr>
      </w:pPr>
      <w:r>
        <w:rPr>
          <w:rFonts w:hint="eastAsia" w:ascii="仿宋" w:hAnsi="仿宋" w:eastAsia="仿宋" w:cs="仿宋"/>
          <w:sz w:val="28"/>
          <w:szCs w:val="28"/>
        </w:rPr>
        <w:t>2、</w:t>
      </w:r>
      <w:r>
        <w:rPr>
          <w:rFonts w:hint="eastAsia" w:ascii="仿宋" w:hAnsi="仿宋" w:eastAsia="仿宋" w:cs="仿宋"/>
          <w:color w:val="auto"/>
          <w:sz w:val="28"/>
          <w:szCs w:val="28"/>
          <w:highlight w:val="yellow"/>
        </w:rPr>
        <w:t>粮油仓储</w:t>
      </w:r>
      <w:r>
        <w:rPr>
          <w:rFonts w:hint="eastAsia" w:ascii="仿宋" w:hAnsi="仿宋" w:eastAsia="仿宋" w:cs="仿宋"/>
          <w:color w:val="auto"/>
          <w:sz w:val="28"/>
          <w:szCs w:val="28"/>
          <w:highlight w:val="yellow"/>
          <w:lang w:val="en-US" w:eastAsia="zh-CN"/>
        </w:rPr>
        <w:t>库房</w:t>
      </w:r>
      <w:r>
        <w:rPr>
          <w:rFonts w:hint="eastAsia" w:ascii="仿宋" w:hAnsi="仿宋" w:eastAsia="仿宋" w:cs="仿宋"/>
          <w:color w:val="auto"/>
          <w:sz w:val="28"/>
          <w:szCs w:val="28"/>
          <w:highlight w:val="yellow"/>
        </w:rPr>
        <w:t>建设面积7</w:t>
      </w:r>
      <w:r>
        <w:rPr>
          <w:rFonts w:hint="eastAsia" w:ascii="仿宋" w:hAnsi="仿宋" w:eastAsia="仿宋" w:cs="仿宋"/>
          <w:color w:val="auto"/>
          <w:sz w:val="28"/>
          <w:szCs w:val="28"/>
          <w:highlight w:val="yellow"/>
          <w:lang w:val="en-US" w:eastAsia="zh-CN"/>
        </w:rPr>
        <w:t>105.87</w:t>
      </w:r>
      <w:r>
        <w:rPr>
          <w:rFonts w:hint="eastAsia" w:ascii="仿宋" w:hAnsi="仿宋" w:eastAsia="仿宋" w:cs="仿宋"/>
          <w:color w:val="auto"/>
          <w:sz w:val="28"/>
          <w:szCs w:val="28"/>
          <w:highlight w:val="yellow"/>
        </w:rPr>
        <w:t>平方米，</w:t>
      </w:r>
      <w:r>
        <w:rPr>
          <w:rFonts w:hint="eastAsia" w:ascii="仿宋" w:hAnsi="仿宋" w:eastAsia="仿宋" w:cs="仿宋"/>
          <w:color w:val="auto"/>
          <w:sz w:val="28"/>
          <w:szCs w:val="28"/>
          <w:highlight w:val="yellow"/>
          <w:lang w:val="en-US" w:eastAsia="zh-CN"/>
        </w:rPr>
        <w:t>本次出租面积为5132.56平方米，</w:t>
      </w:r>
      <w:r>
        <w:rPr>
          <w:rFonts w:hint="eastAsia" w:ascii="仿宋" w:hAnsi="仿宋" w:eastAsia="仿宋" w:cs="仿宋"/>
          <w:color w:val="auto"/>
          <w:sz w:val="28"/>
          <w:szCs w:val="28"/>
          <w:highlight w:val="yellow"/>
        </w:rPr>
        <w:t>建筑高度为14.2米</w:t>
      </w:r>
      <w:r>
        <w:rPr>
          <w:rFonts w:hint="eastAsia" w:ascii="仿宋" w:hAnsi="仿宋" w:eastAsia="仿宋" w:cs="仿宋"/>
          <w:color w:val="auto"/>
          <w:sz w:val="28"/>
          <w:szCs w:val="28"/>
          <w:highlight w:val="yellow"/>
          <w:lang w:eastAsia="zh-CN"/>
        </w:rPr>
        <w:t>，</w:t>
      </w:r>
      <w:r>
        <w:rPr>
          <w:rFonts w:hint="eastAsia" w:ascii="仿宋" w:hAnsi="仿宋" w:eastAsia="仿宋" w:cs="仿宋"/>
          <w:color w:val="auto"/>
          <w:sz w:val="28"/>
          <w:szCs w:val="28"/>
          <w:highlight w:val="yellow"/>
        </w:rPr>
        <w:t>包含库内现有高位仓储货架、木质托盘、叉车等配套设施。</w:t>
      </w:r>
    </w:p>
    <w:p w14:paraId="59CE163B">
      <w:pPr>
        <w:widowControl w:val="0"/>
        <w:adjustRightInd w:val="0"/>
        <w:snapToGrid w:val="0"/>
        <w:spacing w:line="360" w:lineRule="auto"/>
        <w:ind w:firstLine="560" w:firstLineChars="200"/>
        <w:rPr>
          <w:rFonts w:hint="eastAsia" w:ascii="仿宋" w:hAnsi="仿宋" w:eastAsia="仿宋" w:cs="仿宋"/>
          <w:b/>
          <w:bCs/>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、乙方已对所租赁仓库场地现有设施及状况完全认可。乙方需增建围墙或地面加厚等永久性建筑，需书面申请经甲方同意后方可实施，并不得私自撤除该增建项目。</w:t>
      </w:r>
    </w:p>
    <w:p w14:paraId="3D281B47">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第二条  租赁期限、租金额及支付期限、方式</w:t>
      </w:r>
    </w:p>
    <w:p w14:paraId="40B24EB1">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1、租赁年限为3年。</w:t>
      </w:r>
    </w:p>
    <w:p w14:paraId="0F3BA99F">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highlight w:val="yellow"/>
        </w:rPr>
        <w:t>租金缴纳：</w:t>
      </w:r>
      <w:r>
        <w:rPr>
          <w:rFonts w:hint="eastAsia" w:ascii="仿宋" w:hAnsi="仿宋" w:eastAsia="仿宋" w:cs="仿宋"/>
          <w:sz w:val="28"/>
          <w:szCs w:val="28"/>
          <w:highlight w:val="yellow"/>
          <w:lang w:val="en-US" w:eastAsia="zh-CN"/>
        </w:rPr>
        <w:t>0.18元/平方米；租金</w:t>
      </w:r>
      <w:r>
        <w:rPr>
          <w:rFonts w:hint="eastAsia" w:ascii="仿宋" w:hAnsi="仿宋" w:eastAsia="仿宋" w:cs="仿宋"/>
          <w:sz w:val="28"/>
          <w:szCs w:val="28"/>
          <w:highlight w:val="yellow"/>
        </w:rPr>
        <w:t>一年一交，每次缴纳12个月。</w:t>
      </w:r>
    </w:p>
    <w:p w14:paraId="1D4C6CB1">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3、承租人须于合同生效之日起5个工作日内将竞租成交租金即第一年租金向巴林右旗万晟国有资本运营集团有限责任公司账户一次性付清全部成交价款。</w:t>
      </w:r>
    </w:p>
    <w:p w14:paraId="12D0048E">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4、租金交纳地点为甲方办公地址，付款方式为现金或转账。</w:t>
      </w:r>
    </w:p>
    <w:p w14:paraId="1BC068DD">
      <w:pPr>
        <w:widowControl w:val="0"/>
        <w:adjustRightInd w:val="0"/>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5、乙方必须合同按约定的时间支付租金，逾期支付，每逾期一天按欠付租金的</w:t>
      </w:r>
      <w:r>
        <w:rPr>
          <w:rFonts w:hint="eastAsia" w:ascii="仿宋" w:hAnsi="仿宋" w:eastAsia="仿宋" w:cs="仿宋"/>
          <w:sz w:val="28"/>
          <w:szCs w:val="28"/>
          <w:highlight w:val="yellow"/>
        </w:rPr>
        <w:t>5‰</w:t>
      </w:r>
      <w:r>
        <w:rPr>
          <w:rFonts w:hint="eastAsia" w:ascii="仿宋" w:hAnsi="仿宋" w:eastAsia="仿宋" w:cs="仿宋"/>
          <w:sz w:val="28"/>
          <w:szCs w:val="28"/>
          <w:highlight w:val="none"/>
        </w:rPr>
        <w:t>向甲方支付违约金。</w:t>
      </w:r>
    </w:p>
    <w:p w14:paraId="36CEE3D9">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第三条  履约（设备）保证金：</w:t>
      </w:r>
    </w:p>
    <w:p w14:paraId="69B8E1C8">
      <w:pPr>
        <w:widowControl w:val="0"/>
        <w:adjustRightInd w:val="0"/>
        <w:snapToGrid w:val="0"/>
        <w:spacing w:line="360" w:lineRule="auto"/>
        <w:ind w:firstLine="560" w:firstLineChars="200"/>
        <w:rPr>
          <w:rFonts w:ascii="仿宋" w:hAnsi="仿宋" w:eastAsia="仿宋" w:cs="仿宋"/>
          <w:sz w:val="28"/>
          <w:szCs w:val="28"/>
          <w:highlight w:val="yellow"/>
        </w:rPr>
      </w:pPr>
      <w:bookmarkStart w:id="0" w:name="_GoBack"/>
      <w:r>
        <w:rPr>
          <w:rFonts w:hint="eastAsia" w:ascii="仿宋" w:hAnsi="仿宋" w:eastAsia="仿宋" w:cs="仿宋"/>
          <w:sz w:val="28"/>
          <w:szCs w:val="28"/>
          <w:highlight w:val="yellow"/>
        </w:rPr>
        <w:t>1、乙方须在本合同签订之日向甲方支付履约（设备）保证金人民币</w:t>
      </w:r>
      <w:r>
        <w:rPr>
          <w:rFonts w:hint="eastAsia" w:ascii="仿宋" w:hAnsi="仿宋" w:eastAsia="仿宋" w:cs="仿宋"/>
          <w:b/>
          <w:bCs/>
          <w:sz w:val="28"/>
          <w:szCs w:val="28"/>
          <w:highlight w:val="yellow"/>
        </w:rPr>
        <w:t>大写：伍拾万元整（小写：500000.00元）</w:t>
      </w:r>
      <w:r>
        <w:rPr>
          <w:rFonts w:hint="eastAsia" w:ascii="仿宋" w:hAnsi="仿宋" w:eastAsia="仿宋" w:cs="仿宋"/>
          <w:sz w:val="28"/>
          <w:szCs w:val="28"/>
          <w:highlight w:val="yellow"/>
        </w:rPr>
        <w:t>（续租的，沿用上期足额保证金）。在租赁期内，如乙方有违反甲方管理规定的行为、拖欠甲方租金或其他费用等情形的，甲方有权按有关规定处罚；乙方违反甲方管理规定造成甲方或第三方损失不予积极配合处置的，甲方将从履约保证金中先行赔付，事后乙方应接受处罚并补足保证金。合同到期如无设备设施丢失或物品损坏，甲方如数退还保证金。</w:t>
      </w:r>
    </w:p>
    <w:p w14:paraId="0F194D32">
      <w:pPr>
        <w:widowControl w:val="0"/>
        <w:adjustRightInd w:val="0"/>
        <w:snapToGrid w:val="0"/>
        <w:spacing w:line="360" w:lineRule="auto"/>
        <w:ind w:firstLine="560" w:firstLineChars="200"/>
        <w:rPr>
          <w:rFonts w:hint="eastAsia" w:ascii="仿宋" w:hAnsi="仿宋" w:eastAsia="仿宋" w:cs="仿宋"/>
          <w:b/>
          <w:bCs/>
          <w:sz w:val="28"/>
          <w:szCs w:val="28"/>
          <w:highlight w:val="yellow"/>
        </w:rPr>
      </w:pPr>
      <w:r>
        <w:rPr>
          <w:rFonts w:hint="eastAsia" w:ascii="仿宋" w:hAnsi="仿宋" w:eastAsia="仿宋" w:cs="仿宋"/>
          <w:sz w:val="28"/>
          <w:szCs w:val="28"/>
          <w:highlight w:val="yellow"/>
        </w:rPr>
        <w:t>注：合同到期前，甲方将聘请第三方评估机构对资产设备进行专业评估，若折旧及磨损超出合理范围或损坏缺失，甲方不予退还履约（设备）保证金或依法对乙方进行索赔。</w:t>
      </w:r>
    </w:p>
    <w:bookmarkEnd w:id="0"/>
    <w:p w14:paraId="3B4D322E">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第四条  租赁期内，甲方应承担的责任：</w:t>
      </w:r>
    </w:p>
    <w:p w14:paraId="720E328F">
      <w:pPr>
        <w:widowControl w:val="0"/>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甲方应向乙方出示租赁库房的合法产权证明文件，确保对所出租的粮油仓储库房拥有完全的产权，无抵押、查封、扣押等权利瑕疵，且该库房的规划用途符合粮油仓储使用要求，能够满足乙方合法的仓储经营需求。</w:t>
      </w:r>
    </w:p>
    <w:p w14:paraId="148B6827">
      <w:pPr>
        <w:widowControl w:val="0"/>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甲方应于双方约定的交付日期，将符合本合同约定标准的粮油仓储库房及配套设施（高位仓储货架、木质托盘、叉车等）完整交付给乙方。交付时，双方应共同对库房的建筑结构、水电设施、消防系统及配套设备进行清点，明确设施设备的数量、型号、使用状况及完好程度。</w:t>
      </w:r>
    </w:p>
    <w:p w14:paraId="347DC49F">
      <w:pPr>
        <w:widowControl w:val="0"/>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甲方应协助乙方办理因租赁库房所需的相关手续，如配合乙方提供办理营业执照、仓储经营备案等所需的产权证明等文件资料。</w:t>
      </w:r>
    </w:p>
    <w:p w14:paraId="15E3A7AA">
      <w:pPr>
        <w:widowControl w:val="0"/>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信息告知义务：甲方应在租赁前如实告知乙方租赁库房的相关情况，包括但不限于库房的承重限额、消防等级、防水防潮性能、周边配套设施及可能影响乙方仓储经营的其他重要信息。</w:t>
      </w:r>
    </w:p>
    <w:p w14:paraId="387FA5FC">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第五条  租赁期内，乙方应承担的责任：</w:t>
      </w:r>
    </w:p>
    <w:p w14:paraId="4E28560F">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乙方应严格按照仓储的用途使用租赁库房，不得擅自改变库房的使用性质，不得将库房用于易燃易爆、有毒有害等危险品的仓储，不得利用库房从事违法违规经营活动。若乙方违反本条约定，甲方有权解除合同，乙方应承担由此造成的全部损失及违约责任。</w:t>
      </w:r>
    </w:p>
    <w:p w14:paraId="613D92ED">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租金支付义务：乙方应按照本合同约定的租金标准、支付方式及支付期限，按时足额向甲方支付租金，</w:t>
      </w:r>
      <w:r>
        <w:rPr>
          <w:rFonts w:hint="eastAsia" w:ascii="仿宋" w:hAnsi="仿宋" w:eastAsia="仿宋" w:cs="仿宋"/>
          <w:sz w:val="28"/>
          <w:szCs w:val="28"/>
          <w:lang w:eastAsia="zh-CN"/>
        </w:rPr>
        <w:t>缴纳因经营活动所产生的各项税费，包括水电费等费用，</w:t>
      </w:r>
      <w:r>
        <w:rPr>
          <w:rFonts w:hint="eastAsia" w:ascii="仿宋" w:hAnsi="仿宋" w:eastAsia="仿宋" w:cs="仿宋"/>
          <w:sz w:val="28"/>
          <w:szCs w:val="28"/>
        </w:rPr>
        <w:t>不得无故拖欠。</w:t>
      </w:r>
    </w:p>
    <w:p w14:paraId="3D8C35CA">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rPr>
        <w:t>乙方应妥善保管租赁库房及配套设施，负责承担库房日常的清洁、维护责任，以及配套设施的日常保养、维修费用。使用叉车等设备时，应配备专业操作人员，严格遵守操作规程，避免设备损坏。租赁期间，因乙方使用不当、保管不善导致库房结构损坏或配套设施损毁的，乙方应负责维修或承担相应的赔偿责任。</w:t>
      </w:r>
    </w:p>
    <w:p w14:paraId="1755E43F">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eastAsia="zh-CN"/>
        </w:rPr>
        <w:t>、</w:t>
      </w:r>
      <w:r>
        <w:rPr>
          <w:rFonts w:hint="eastAsia" w:ascii="仿宋" w:hAnsi="仿宋" w:eastAsia="仿宋" w:cs="仿宋"/>
          <w:sz w:val="28"/>
          <w:szCs w:val="28"/>
        </w:rPr>
        <w:t>乙方应建立健全库房安全管理制度，落实消防安全责任，配备必要的消防器材并定期检查、维护，确保库房符合消防安全规范。租赁期间，乙方应加强对入库</w:t>
      </w:r>
      <w:r>
        <w:rPr>
          <w:rFonts w:hint="eastAsia" w:ascii="仿宋" w:hAnsi="仿宋" w:eastAsia="仿宋" w:cs="仿宋"/>
          <w:sz w:val="28"/>
          <w:szCs w:val="28"/>
          <w:lang w:val="en-US" w:eastAsia="zh-CN"/>
        </w:rPr>
        <w:t>物品</w:t>
      </w:r>
      <w:r>
        <w:rPr>
          <w:rFonts w:hint="eastAsia" w:ascii="仿宋" w:hAnsi="仿宋" w:eastAsia="仿宋" w:cs="仿宋"/>
          <w:sz w:val="28"/>
          <w:szCs w:val="28"/>
        </w:rPr>
        <w:t>及库房周边的安全巡查，及时消除火灾、盗窃等安全隐患。若因乙方安全管理不善导致发生安全事故，造成甲方或第三方人身、财产损失的，乙方应承担全部赔偿责任。</w:t>
      </w:r>
    </w:p>
    <w:p w14:paraId="790464BE">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eastAsia="zh-CN"/>
        </w:rPr>
        <w:t>、</w:t>
      </w:r>
      <w:r>
        <w:rPr>
          <w:rFonts w:hint="eastAsia" w:ascii="仿宋" w:hAnsi="仿宋" w:eastAsia="仿宋" w:cs="仿宋"/>
          <w:sz w:val="28"/>
          <w:szCs w:val="28"/>
        </w:rPr>
        <w:t>乙方应依法办理与经营相关的全部行政许可、备案手续，确保自身经营活动符合国家及地方相关法律法规、行业标准的要求。租赁期间，因乙方经营活动违反法律法规导致的行政处罚、民事赔偿及刑事责任，均由乙方自行承担，与甲方无关。</w:t>
      </w:r>
    </w:p>
    <w:p w14:paraId="219B9DE6">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sz w:val="28"/>
          <w:szCs w:val="28"/>
          <w:lang w:eastAsia="zh-CN"/>
        </w:rPr>
        <w:t>、</w:t>
      </w:r>
      <w:r>
        <w:rPr>
          <w:rFonts w:hint="eastAsia" w:ascii="仿宋" w:hAnsi="仿宋" w:eastAsia="仿宋" w:cs="仿宋"/>
          <w:sz w:val="28"/>
          <w:szCs w:val="28"/>
        </w:rPr>
        <w:t>乙方若需对库房进行装修、改造或增设他物，应事先向甲方提交书面方案，经甲方书面同意后方可实施，且装修、改造费用由乙方承担。租赁期满后，乙方增设的可移动设施设备由其自行拆除，不可移动的装修、改造部分归甲方所有，甲方无需给予补偿。若乙方擅自进行装修、改造，甲方有权要求乙方恢复原状并赔偿损失。</w:t>
      </w:r>
    </w:p>
    <w:p w14:paraId="3C95FF0B">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eastAsia="zh-CN"/>
        </w:rPr>
        <w:t>、</w:t>
      </w:r>
      <w:r>
        <w:rPr>
          <w:rFonts w:hint="eastAsia" w:ascii="仿宋" w:hAnsi="仿宋" w:eastAsia="仿宋" w:cs="仿宋"/>
          <w:sz w:val="28"/>
          <w:szCs w:val="28"/>
        </w:rPr>
        <w:t>租赁期满或合同解除后，乙方应在约定的期限内将租赁库房及配套设施完好、整洁地返还给甲方。返还时，双方应进行核对验收，若发现库房或设施有损坏，乙方应负责维修或承担赔偿责任。乙方逾期返还的，应按照合同约定的租金标准支付逾期占用期间的费用。</w:t>
      </w:r>
    </w:p>
    <w:p w14:paraId="66796822">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8</w:t>
      </w:r>
      <w:r>
        <w:rPr>
          <w:rFonts w:hint="eastAsia" w:ascii="仿宋" w:hAnsi="仿宋" w:eastAsia="仿宋" w:cs="仿宋"/>
          <w:sz w:val="28"/>
          <w:szCs w:val="28"/>
          <w:lang w:eastAsia="zh-CN"/>
        </w:rPr>
        <w:t>、</w:t>
      </w:r>
      <w:r>
        <w:rPr>
          <w:rFonts w:hint="eastAsia" w:ascii="仿宋" w:hAnsi="仿宋" w:eastAsia="仿宋" w:cs="仿宋"/>
          <w:sz w:val="28"/>
          <w:szCs w:val="28"/>
        </w:rPr>
        <w:t>租赁期间，甲方因履行维修、养护义务或办理产权相关手续需要进入库房时，乙方应予以配合，甲方应提前通知乙方并在合理时间内进行。若乙方发现库房主体结构或核心基础设施存在安全隐患，应及时通知甲方，配合甲方进行维修处理。</w:t>
      </w:r>
    </w:p>
    <w:p w14:paraId="05438E21">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条 合同的解除</w:t>
      </w:r>
    </w:p>
    <w:p w14:paraId="45648A34">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一、甲方有下列行为之一的，则视为违约，乙方有权解除本合同，甲方应退还多余的各项费用及保证金：</w:t>
      </w:r>
    </w:p>
    <w:p w14:paraId="499DB9F7">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1、甲方如无故干涉乙方的正常经营活动；</w:t>
      </w:r>
    </w:p>
    <w:p w14:paraId="40E2DA8C">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2、重复出租的；</w:t>
      </w:r>
    </w:p>
    <w:p w14:paraId="2912F6F7">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二、乙方出现下列情况之一，甲方有权解除合同，保证金及其他缴费剩余不予退还：</w:t>
      </w:r>
    </w:p>
    <w:p w14:paraId="4FF8DD0F">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1、不交付或不按约定交付租金及其他各项费用逾期超过30天的；</w:t>
      </w:r>
    </w:p>
    <w:p w14:paraId="07DF25A5">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2、从事制售假冒伪劣、三无商品，法律法规禁止销售的商品等违法活动，严重影响甲方商业信誉的；</w:t>
      </w:r>
    </w:p>
    <w:p w14:paraId="6EE9D167">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3、不按约定用途使用租赁场地的；</w:t>
      </w:r>
    </w:p>
    <w:p w14:paraId="7DFF4DFC">
      <w:pPr>
        <w:widowControl w:val="0"/>
        <w:adjustRightInd w:val="0"/>
        <w:snapToGrid w:val="0"/>
        <w:spacing w:line="360" w:lineRule="auto"/>
        <w:ind w:firstLine="560" w:firstLineChars="200"/>
        <w:rPr>
          <w:rFonts w:hint="eastAsia" w:ascii="仿宋" w:hAnsi="仿宋" w:eastAsia="仿宋" w:cs="仿宋"/>
          <w:b/>
          <w:bCs/>
          <w:sz w:val="28"/>
          <w:szCs w:val="28"/>
        </w:rPr>
      </w:pPr>
      <w:r>
        <w:rPr>
          <w:rFonts w:hint="eastAsia" w:ascii="仿宋" w:hAnsi="仿宋" w:eastAsia="仿宋" w:cs="仿宋"/>
          <w:sz w:val="28"/>
          <w:szCs w:val="28"/>
        </w:rPr>
        <w:t>4、违反</w:t>
      </w:r>
      <w:r>
        <w:rPr>
          <w:rFonts w:hint="eastAsia" w:ascii="仿宋" w:hAnsi="仿宋" w:eastAsia="仿宋" w:cs="仿宋"/>
          <w:sz w:val="28"/>
          <w:szCs w:val="28"/>
          <w:lang w:val="en-US" w:eastAsia="zh-CN"/>
        </w:rPr>
        <w:t>其他法律法规规定的违法经营情况的</w:t>
      </w:r>
      <w:r>
        <w:rPr>
          <w:rFonts w:hint="eastAsia" w:ascii="仿宋" w:hAnsi="仿宋" w:eastAsia="仿宋" w:cs="仿宋"/>
          <w:sz w:val="28"/>
          <w:szCs w:val="28"/>
        </w:rPr>
        <w:t>。</w:t>
      </w:r>
    </w:p>
    <w:p w14:paraId="3C1CD8CC">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条 免责条件</w:t>
      </w:r>
    </w:p>
    <w:p w14:paraId="1011B2E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1、因不可抗力原因致使本合同不能继续履行或造成的损失，甲、乙双方互不承担责任。</w:t>
      </w:r>
    </w:p>
    <w:p w14:paraId="690FC4EA">
      <w:pPr>
        <w:widowControl w:val="0"/>
        <w:adjustRightInd w:val="0"/>
        <w:snapToGrid w:val="0"/>
        <w:spacing w:line="360" w:lineRule="auto"/>
        <w:ind w:firstLine="560" w:firstLineChars="200"/>
        <w:rPr>
          <w:rFonts w:hint="eastAsia" w:ascii="仿宋" w:hAnsi="仿宋" w:eastAsia="仿宋" w:cs="仿宋"/>
          <w:b/>
          <w:bCs/>
          <w:sz w:val="28"/>
          <w:szCs w:val="28"/>
        </w:rPr>
      </w:pPr>
      <w:r>
        <w:rPr>
          <w:rFonts w:hint="eastAsia" w:ascii="仿宋" w:hAnsi="仿宋" w:eastAsia="仿宋" w:cs="仿宋"/>
          <w:b w:val="0"/>
          <w:bCs w:val="0"/>
          <w:sz w:val="28"/>
          <w:szCs w:val="28"/>
        </w:rPr>
        <w:t>2、因国家政策及甲方原因需要拆除或改造已租赁的仓库，使甲、乙双方造成损失的，互不承担责任。</w:t>
      </w:r>
    </w:p>
    <w:p w14:paraId="69ABFD96">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八</w:t>
      </w:r>
      <w:r>
        <w:rPr>
          <w:rFonts w:hint="eastAsia" w:ascii="仿宋" w:hAnsi="仿宋" w:eastAsia="仿宋" w:cs="仿宋"/>
          <w:b/>
          <w:bCs/>
          <w:sz w:val="28"/>
          <w:szCs w:val="28"/>
        </w:rPr>
        <w:t>条 争议的解决方式</w:t>
      </w:r>
    </w:p>
    <w:p w14:paraId="5E61CBEE">
      <w:pPr>
        <w:widowControl w:val="0"/>
        <w:adjustRightInd w:val="0"/>
        <w:snapToGrid w:val="0"/>
        <w:spacing w:line="360" w:lineRule="auto"/>
        <w:ind w:firstLine="560" w:firstLineChars="200"/>
        <w:rPr>
          <w:rFonts w:hint="eastAsia" w:ascii="仿宋" w:hAnsi="仿宋" w:eastAsia="仿宋" w:cs="仿宋"/>
          <w:b/>
          <w:bCs/>
          <w:sz w:val="28"/>
          <w:szCs w:val="28"/>
        </w:rPr>
      </w:pPr>
      <w:r>
        <w:rPr>
          <w:rFonts w:hint="eastAsia" w:ascii="仿宋" w:hAnsi="仿宋" w:eastAsia="仿宋" w:cs="仿宋"/>
          <w:sz w:val="28"/>
          <w:szCs w:val="28"/>
        </w:rPr>
        <w:t>因履行本合同发生的争议应当协商解决，协商解决不成的，任一方均有权向</w:t>
      </w:r>
      <w:r>
        <w:rPr>
          <w:rFonts w:hint="eastAsia" w:ascii="仿宋" w:hAnsi="仿宋" w:eastAsia="仿宋" w:cs="仿宋"/>
          <w:sz w:val="28"/>
          <w:szCs w:val="28"/>
          <w:lang w:val="en-US" w:eastAsia="zh-CN"/>
        </w:rPr>
        <w:t>有管辖权</w:t>
      </w:r>
      <w:r>
        <w:rPr>
          <w:rFonts w:hint="eastAsia" w:ascii="仿宋" w:hAnsi="仿宋" w:eastAsia="仿宋" w:cs="仿宋"/>
          <w:sz w:val="28"/>
          <w:szCs w:val="28"/>
        </w:rPr>
        <w:t>的人民法院起诉。</w:t>
      </w:r>
      <w:r>
        <w:rPr>
          <w:rFonts w:hint="eastAsia" w:ascii="仿宋" w:hAnsi="仿宋" w:eastAsia="仿宋" w:cs="仿宋"/>
          <w:color w:val="auto"/>
          <w:sz w:val="28"/>
          <w:szCs w:val="28"/>
        </w:rPr>
        <w:t>如因乙方</w:t>
      </w:r>
      <w:r>
        <w:rPr>
          <w:rFonts w:ascii="仿宋" w:hAnsi="仿宋" w:eastAsia="仿宋" w:cs="仿宋"/>
          <w:color w:val="auto"/>
          <w:sz w:val="28"/>
          <w:szCs w:val="28"/>
        </w:rPr>
        <w:t>违约或者</w:t>
      </w:r>
      <w:r>
        <w:rPr>
          <w:rFonts w:hint="eastAsia" w:ascii="仿宋" w:hAnsi="仿宋" w:eastAsia="仿宋" w:cs="仿宋"/>
          <w:color w:val="auto"/>
          <w:sz w:val="28"/>
          <w:szCs w:val="28"/>
        </w:rPr>
        <w:t>因</w:t>
      </w:r>
      <w:r>
        <w:rPr>
          <w:rFonts w:ascii="仿宋" w:hAnsi="仿宋" w:eastAsia="仿宋" w:cs="仿宋"/>
          <w:color w:val="auto"/>
          <w:sz w:val="28"/>
          <w:szCs w:val="28"/>
        </w:rPr>
        <w:t>乙方不按时缴纳</w:t>
      </w:r>
      <w:r>
        <w:rPr>
          <w:rFonts w:hint="eastAsia" w:ascii="仿宋" w:hAnsi="仿宋" w:eastAsia="仿宋" w:cs="仿宋"/>
          <w:color w:val="auto"/>
          <w:sz w:val="28"/>
          <w:szCs w:val="28"/>
        </w:rPr>
        <w:t>租金发生的争议产生</w:t>
      </w:r>
      <w:r>
        <w:rPr>
          <w:rFonts w:ascii="仿宋" w:hAnsi="仿宋" w:eastAsia="仿宋" w:cs="仿宋"/>
          <w:color w:val="auto"/>
          <w:sz w:val="28"/>
          <w:szCs w:val="28"/>
        </w:rPr>
        <w:t>的诉讼费、律师费由违约方承担。</w:t>
      </w:r>
    </w:p>
    <w:p w14:paraId="379EDAF2">
      <w:pPr>
        <w:widowControl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九</w:t>
      </w:r>
      <w:r>
        <w:rPr>
          <w:rFonts w:hint="eastAsia" w:ascii="仿宋" w:hAnsi="仿宋" w:eastAsia="仿宋" w:cs="仿宋"/>
          <w:b/>
          <w:bCs/>
          <w:sz w:val="28"/>
          <w:szCs w:val="28"/>
        </w:rPr>
        <w:t>条  其它约定事项</w:t>
      </w:r>
    </w:p>
    <w:p w14:paraId="392B970A">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在实施本协议过程中，如有未尽事宜，经过协商，可另行签订补充协议，补充协议同等有效。</w:t>
      </w:r>
    </w:p>
    <w:p w14:paraId="4C726921">
      <w:pPr>
        <w:widowControl w:val="0"/>
        <w:numPr>
          <w:ilvl w:val="0"/>
          <w:numId w:val="0"/>
        </w:numPr>
        <w:adjustRightInd w:val="0"/>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本合同自签订日且履约保证金足额付至甲方指定账户之日起生效。</w:t>
      </w:r>
      <w:r>
        <w:rPr>
          <w:rFonts w:hint="eastAsia" w:ascii="仿宋" w:hAnsi="仿宋" w:eastAsia="仿宋" w:cs="仿宋"/>
          <w:sz w:val="28"/>
          <w:szCs w:val="28"/>
          <w:highlight w:val="none"/>
        </w:rPr>
        <w:t>本合同一式</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份，甲方</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乙方</w:t>
      </w:r>
      <w:r>
        <w:rPr>
          <w:rFonts w:hint="eastAsia" w:ascii="仿宋" w:hAnsi="仿宋" w:eastAsia="仿宋" w:cs="仿宋"/>
          <w:sz w:val="28"/>
          <w:szCs w:val="28"/>
          <w:highlight w:val="none"/>
          <w:lang w:val="en-US" w:eastAsia="zh-CN"/>
        </w:rPr>
        <w:t>双方各</w:t>
      </w:r>
      <w:r>
        <w:rPr>
          <w:rFonts w:hint="eastAsia" w:ascii="仿宋" w:hAnsi="仿宋" w:eastAsia="仿宋" w:cs="仿宋"/>
          <w:sz w:val="28"/>
          <w:szCs w:val="28"/>
          <w:highlight w:val="none"/>
        </w:rPr>
        <w:t>执</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份。</w:t>
      </w:r>
    </w:p>
    <w:p w14:paraId="73605CB0">
      <w:pPr>
        <w:widowControl w:val="0"/>
        <w:adjustRightInd w:val="0"/>
        <w:snapToGrid w:val="0"/>
        <w:spacing w:line="360" w:lineRule="auto"/>
        <w:ind w:firstLine="560" w:firstLineChars="200"/>
        <w:rPr>
          <w:rFonts w:hint="eastAsia" w:ascii="仿宋" w:hAnsi="仿宋" w:eastAsia="仿宋" w:cs="仿宋"/>
          <w:sz w:val="28"/>
          <w:szCs w:val="28"/>
          <w:highlight w:val="yellow"/>
        </w:rPr>
      </w:pPr>
    </w:p>
    <w:p w14:paraId="75080C08">
      <w:pPr>
        <w:widowControl w:val="0"/>
        <w:adjustRightInd w:val="0"/>
        <w:snapToGrid w:val="0"/>
        <w:spacing w:line="360" w:lineRule="auto"/>
        <w:ind w:firstLine="560" w:firstLineChars="200"/>
        <w:rPr>
          <w:rFonts w:hint="eastAsia" w:ascii="仿宋" w:hAnsi="仿宋" w:eastAsia="仿宋" w:cs="仿宋"/>
          <w:sz w:val="28"/>
          <w:szCs w:val="28"/>
          <w:highlight w:val="yellow"/>
        </w:rPr>
      </w:pPr>
    </w:p>
    <w:p w14:paraId="00C3BEA0">
      <w:pPr>
        <w:widowControl w:val="0"/>
        <w:adjustRightInd w:val="0"/>
        <w:snapToGrid w:val="0"/>
        <w:spacing w:line="360" w:lineRule="auto"/>
        <w:ind w:firstLine="560" w:firstLineChars="200"/>
        <w:rPr>
          <w:rFonts w:hint="eastAsia" w:ascii="仿宋" w:hAnsi="仿宋" w:eastAsia="仿宋" w:cs="仿宋"/>
          <w:sz w:val="28"/>
          <w:szCs w:val="28"/>
          <w:highlight w:val="yellow"/>
        </w:rPr>
      </w:pPr>
    </w:p>
    <w:p w14:paraId="3104F665">
      <w:pPr>
        <w:widowControl w:val="0"/>
        <w:adjustRightInd w:val="0"/>
        <w:snapToGrid w:val="0"/>
        <w:spacing w:line="360" w:lineRule="auto"/>
        <w:ind w:firstLine="560" w:firstLineChars="200"/>
        <w:rPr>
          <w:rFonts w:hint="eastAsia" w:ascii="仿宋" w:hAnsi="仿宋" w:eastAsia="仿宋" w:cs="仿宋"/>
          <w:sz w:val="28"/>
          <w:szCs w:val="28"/>
          <w:highlight w:val="yellow"/>
        </w:rPr>
      </w:pPr>
    </w:p>
    <w:p w14:paraId="705A47A8">
      <w:pPr>
        <w:widowControl w:val="0"/>
        <w:adjustRightInd w:val="0"/>
        <w:snapToGrid w:val="0"/>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此页无正文</w:t>
      </w:r>
    </w:p>
    <w:p w14:paraId="1329A411">
      <w:pPr>
        <w:widowControl w:val="0"/>
        <w:adjustRightInd w:val="0"/>
        <w:snapToGrid w:val="0"/>
        <w:spacing w:line="360" w:lineRule="auto"/>
        <w:ind w:firstLine="560" w:firstLineChars="200"/>
        <w:rPr>
          <w:rFonts w:hint="eastAsia" w:ascii="仿宋" w:hAnsi="仿宋" w:eastAsia="仿宋" w:cs="仿宋"/>
          <w:sz w:val="28"/>
          <w:szCs w:val="28"/>
        </w:rPr>
      </w:pPr>
    </w:p>
    <w:p w14:paraId="7CD9BB4D">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出租方（甲方）：巴林右旗万晟国有资本运营集团有限责任公司</w:t>
      </w:r>
    </w:p>
    <w:p w14:paraId="6DDF983C">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公司地址：</w:t>
      </w:r>
      <w:r>
        <w:rPr>
          <w:rFonts w:hint="eastAsia" w:ascii="仿宋" w:hAnsi="仿宋" w:eastAsia="仿宋" w:cs="仿宋"/>
          <w:sz w:val="32"/>
          <w:szCs w:val="32"/>
        </w:rPr>
        <w:t>内蒙古自治区赤峰市巴林右旗索博日嘎街北投资促进服务中心</w:t>
      </w:r>
      <w:r>
        <w:rPr>
          <w:rFonts w:hint="eastAsia" w:ascii="仿宋" w:hAnsi="仿宋" w:eastAsia="仿宋" w:cs="仿宋"/>
          <w:sz w:val="32"/>
          <w:szCs w:val="32"/>
          <w:lang w:val="en-US" w:eastAsia="zh-CN"/>
        </w:rPr>
        <w:t>4</w:t>
      </w:r>
      <w:r>
        <w:rPr>
          <w:rFonts w:hint="eastAsia" w:ascii="仿宋" w:hAnsi="仿宋" w:eastAsia="仿宋" w:cs="仿宋"/>
          <w:sz w:val="32"/>
          <w:szCs w:val="32"/>
        </w:rPr>
        <w:t>楼</w:t>
      </w:r>
    </w:p>
    <w:p w14:paraId="78AEAFFE">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法定</w:t>
      </w:r>
      <w:r>
        <w:rPr>
          <w:rFonts w:hint="eastAsia" w:ascii="仿宋" w:hAnsi="仿宋" w:eastAsia="仿宋" w:cs="仿宋"/>
          <w:sz w:val="28"/>
          <w:szCs w:val="28"/>
        </w:rPr>
        <w:t>代表人</w:t>
      </w:r>
      <w:r>
        <w:rPr>
          <w:rFonts w:hint="eastAsia" w:ascii="仿宋" w:hAnsi="仿宋" w:eastAsia="仿宋" w:cs="仿宋"/>
          <w:sz w:val="28"/>
          <w:szCs w:val="28"/>
          <w:lang w:val="en-US" w:eastAsia="zh-CN"/>
        </w:rPr>
        <w:t>或委托代理人</w:t>
      </w:r>
      <w:r>
        <w:rPr>
          <w:rFonts w:hint="eastAsia" w:ascii="仿宋" w:hAnsi="仿宋" w:eastAsia="仿宋" w:cs="仿宋"/>
          <w:sz w:val="28"/>
          <w:szCs w:val="28"/>
        </w:rPr>
        <w:t>（签字）：</w:t>
      </w:r>
    </w:p>
    <w:p w14:paraId="12962848">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 xml:space="preserve">联系电话：  </w:t>
      </w:r>
    </w:p>
    <w:p w14:paraId="161C9B98">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日  期：年 月 日</w:t>
      </w:r>
    </w:p>
    <w:p w14:paraId="4290A030">
      <w:pPr>
        <w:widowControl w:val="0"/>
        <w:adjustRightInd w:val="0"/>
        <w:snapToGrid w:val="0"/>
        <w:spacing w:line="360" w:lineRule="auto"/>
        <w:ind w:firstLine="560" w:firstLineChars="200"/>
        <w:rPr>
          <w:rFonts w:ascii="仿宋" w:hAnsi="仿宋" w:eastAsia="仿宋" w:cs="仿宋"/>
          <w:sz w:val="28"/>
          <w:szCs w:val="28"/>
        </w:rPr>
      </w:pPr>
    </w:p>
    <w:p w14:paraId="28AA0861">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承租方（乙方）</w:t>
      </w:r>
    </w:p>
    <w:p w14:paraId="0BB32681">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住所地：******</w:t>
      </w:r>
    </w:p>
    <w:p w14:paraId="32372085">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法定</w:t>
      </w:r>
      <w:r>
        <w:rPr>
          <w:rFonts w:hint="eastAsia" w:ascii="仿宋" w:hAnsi="仿宋" w:eastAsia="仿宋" w:cs="仿宋"/>
          <w:sz w:val="28"/>
          <w:szCs w:val="28"/>
        </w:rPr>
        <w:t>代表人</w:t>
      </w:r>
      <w:r>
        <w:rPr>
          <w:rFonts w:hint="eastAsia" w:ascii="仿宋" w:hAnsi="仿宋" w:eastAsia="仿宋" w:cs="仿宋"/>
          <w:sz w:val="28"/>
          <w:szCs w:val="28"/>
          <w:lang w:val="en-US" w:eastAsia="zh-CN"/>
        </w:rPr>
        <w:t>或委托代理人</w:t>
      </w:r>
      <w:r>
        <w:rPr>
          <w:rFonts w:hint="eastAsia" w:ascii="仿宋" w:hAnsi="仿宋" w:eastAsia="仿宋" w:cs="仿宋"/>
          <w:sz w:val="28"/>
          <w:szCs w:val="28"/>
        </w:rPr>
        <w:t>（签字）：</w:t>
      </w:r>
    </w:p>
    <w:p w14:paraId="44CBE0BD">
      <w:pPr>
        <w:widowControl w:val="0"/>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联系电话：</w:t>
      </w:r>
    </w:p>
    <w:p w14:paraId="21C005C3">
      <w:pPr>
        <w:widowControl w:val="0"/>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日  期：年 月日</w:t>
      </w:r>
    </w:p>
    <w:p w14:paraId="4127B6AA">
      <w:pPr>
        <w:widowControl w:val="0"/>
        <w:adjustRightInd w:val="0"/>
        <w:snapToGrid w:val="0"/>
        <w:spacing w:line="360" w:lineRule="auto"/>
        <w:ind w:firstLine="560" w:firstLineChars="200"/>
        <w:rPr>
          <w:rFonts w:hint="eastAsia" w:ascii="仿宋" w:hAnsi="仿宋" w:eastAsia="仿宋" w:cs="仿宋"/>
          <w:sz w:val="28"/>
          <w:szCs w:val="28"/>
        </w:rPr>
      </w:pPr>
    </w:p>
    <w:p w14:paraId="5DA72631">
      <w:pPr>
        <w:widowControl w:val="0"/>
        <w:adjustRightInd w:val="0"/>
        <w:snapToGrid w:val="0"/>
        <w:spacing w:line="360" w:lineRule="auto"/>
        <w:ind w:firstLine="560" w:firstLineChars="200"/>
        <w:rPr>
          <w:rFonts w:hint="eastAsia" w:ascii="仿宋" w:hAnsi="仿宋" w:eastAsia="仿宋" w:cs="仿宋"/>
          <w:sz w:val="28"/>
          <w:szCs w:val="28"/>
        </w:rPr>
      </w:pPr>
    </w:p>
    <w:sectPr>
      <w:footerReference r:id="rId3" w:type="default"/>
      <w:pgSz w:w="11905" w:h="16837"/>
      <w:pgMar w:top="1440" w:right="1440" w:bottom="1440" w:left="144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597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3518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E3518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iNjVhNzdhOWI3ODY2NTI0ODhjZDkxYTM5NjVhZGEifQ=="/>
  </w:docVars>
  <w:rsids>
    <w:rsidRoot w:val="4C2C1C51"/>
    <w:rsid w:val="00360033"/>
    <w:rsid w:val="00A604CD"/>
    <w:rsid w:val="00F41DFE"/>
    <w:rsid w:val="062D0413"/>
    <w:rsid w:val="06CE4C01"/>
    <w:rsid w:val="08E74266"/>
    <w:rsid w:val="0EEB4E54"/>
    <w:rsid w:val="0F193EEA"/>
    <w:rsid w:val="16A61FF6"/>
    <w:rsid w:val="175A6092"/>
    <w:rsid w:val="24DA6224"/>
    <w:rsid w:val="3704523B"/>
    <w:rsid w:val="3A541F76"/>
    <w:rsid w:val="4C2C1C51"/>
    <w:rsid w:val="53E750B0"/>
    <w:rsid w:val="5A4308CE"/>
    <w:rsid w:val="5FD76968"/>
    <w:rsid w:val="667B21F1"/>
    <w:rsid w:val="6810101C"/>
    <w:rsid w:val="687F5BE1"/>
    <w:rsid w:val="69A61506"/>
    <w:rsid w:val="6BB821F3"/>
    <w:rsid w:val="6D9E5C4B"/>
    <w:rsid w:val="6FC767EC"/>
    <w:rsid w:val="7DE93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3510</Words>
  <Characters>3606</Characters>
  <Lines>27</Lines>
  <Paragraphs>7</Paragraphs>
  <TotalTime>3</TotalTime>
  <ScaleCrop>false</ScaleCrop>
  <LinksUpToDate>false</LinksUpToDate>
  <CharactersWithSpaces>3641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2023-08-17T07:44:00Z</dcterms:created>
  <dc:creator>Safina</dc:creator>
  <cp:lastModifiedBy>admin</cp:lastModifiedBy>
  <cp:lastPrinted>2023-09-26T00:51:00Z</cp:lastPrinted>
  <dcterms:modified xsi:type="dcterms:W3CDTF">2025-11-20T08:53:47Z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407956D887C44015B12E715DDAAF4FAB_11</vt:lpwstr>
  </property>
  <property fmtid="{D5CDD505-2E9C-101B-9397-08002B2CF9AE}" pid="4" name="KSOTemplateDocerSaveRecord">
    <vt:lpwstr>eyJoZGlkIjoiMTViNjVhNzdhOWI3ODY2NTI0ODhjZDkxYTM5NjVhZGEiLCJ1c2VySWQiOiIxMDU5NDYzMTU4In0=</vt:lpwstr>
  </property>
</Properties>
</file>