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45FFE">
      <w:pPr>
        <w:pStyle w:val="17"/>
        <w:spacing w:before="780" w:beforeLines="250" w:line="360" w:lineRule="auto"/>
        <w:rPr>
          <w:sz w:val="52"/>
          <w:szCs w:val="52"/>
        </w:rPr>
      </w:pPr>
      <w:r>
        <w:rPr>
          <w:rFonts w:hint="eastAsia"/>
          <w:sz w:val="52"/>
          <w:szCs w:val="52"/>
        </w:rPr>
        <w:t>赤峰市公共资源交易中心</w:t>
      </w:r>
    </w:p>
    <w:p w14:paraId="28039460">
      <w:pPr>
        <w:pStyle w:val="17"/>
        <w:spacing w:before="1872" w:beforeLines="600" w:line="360" w:lineRule="auto"/>
      </w:pPr>
    </w:p>
    <w:p w14:paraId="2C5FFF71">
      <w:pPr>
        <w:pStyle w:val="17"/>
        <w:spacing w:before="312" w:beforeLines="100" w:line="360" w:lineRule="auto"/>
      </w:pPr>
      <w:r>
        <w:rPr>
          <w:rFonts w:hint="eastAsia"/>
        </w:rPr>
        <w:t>产权交易-竞买人</w:t>
      </w:r>
    </w:p>
    <w:p w14:paraId="79D76059">
      <w:pPr>
        <w:pStyle w:val="12"/>
        <w:spacing w:before="780" w:beforeLines="250" w:line="360" w:lineRule="auto"/>
        <w:rPr>
          <w:rFonts w:hint="eastAsia" w:ascii="宋体" w:hAnsi="宋体"/>
        </w:rPr>
      </w:pPr>
      <w:r>
        <w:rPr>
          <w:rFonts w:hint="eastAsia"/>
        </w:rPr>
        <w:t>操作手册</w:t>
      </w:r>
    </w:p>
    <w:p w14:paraId="56982F6A">
      <w:pPr>
        <w:spacing w:line="360" w:lineRule="auto"/>
      </w:pPr>
      <w:r>
        <w:rPr>
          <w:rFonts w:hint="eastAsia"/>
        </w:rPr>
        <w:tab/>
      </w:r>
    </w:p>
    <w:p w14:paraId="275FE3BB">
      <w:pPr>
        <w:spacing w:line="360" w:lineRule="auto"/>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24B037D4">
      <w:pPr>
        <w:spacing w:line="360" w:lineRule="auto"/>
      </w:pPr>
      <w:r>
        <w:rPr>
          <w:rFonts w:hint="eastAsia"/>
        </w:rPr>
        <w:tab/>
      </w:r>
      <w:r>
        <w:rPr>
          <w:rFonts w:hint="eastAsia"/>
        </w:rPr>
        <w:tab/>
      </w:r>
      <w:r>
        <w:rPr>
          <w:rFonts w:hint="eastAsia"/>
        </w:rPr>
        <w:tab/>
      </w:r>
    </w:p>
    <w:p w14:paraId="175A9104">
      <w:pPr>
        <w:spacing w:line="360" w:lineRule="auto"/>
      </w:pPr>
    </w:p>
    <w:p w14:paraId="087A077F">
      <w:pPr>
        <w:spacing w:line="360" w:lineRule="auto"/>
      </w:pPr>
    </w:p>
    <w:p w14:paraId="4C7E39B9">
      <w:pPr>
        <w:spacing w:line="360" w:lineRule="auto"/>
      </w:pPr>
    </w:p>
    <w:p w14:paraId="21795CF4">
      <w:pPr>
        <w:spacing w:line="360" w:lineRule="auto"/>
      </w:pPr>
    </w:p>
    <w:p w14:paraId="47EFC1F3">
      <w:pPr>
        <w:spacing w:line="360" w:lineRule="auto"/>
      </w:pPr>
    </w:p>
    <w:p w14:paraId="53F061CA">
      <w:pPr>
        <w:spacing w:line="360" w:lineRule="auto"/>
      </w:pPr>
    </w:p>
    <w:p w14:paraId="47E46C68">
      <w:pPr>
        <w:spacing w:line="360" w:lineRule="auto"/>
      </w:pPr>
    </w:p>
    <w:p w14:paraId="211FAC72">
      <w:pPr>
        <w:spacing w:line="360" w:lineRule="auto"/>
      </w:pPr>
    </w:p>
    <w:p w14:paraId="57276303">
      <w:pPr>
        <w:spacing w:line="360" w:lineRule="auto"/>
      </w:pPr>
    </w:p>
    <w:p w14:paraId="1D0E3C83">
      <w:pPr>
        <w:spacing w:line="360" w:lineRule="auto"/>
      </w:pPr>
    </w:p>
    <w:p w14:paraId="46343FF0">
      <w:pPr>
        <w:spacing w:line="360" w:lineRule="auto"/>
      </w:pPr>
    </w:p>
    <w:p w14:paraId="5D85A590">
      <w:pPr>
        <w:spacing w:line="360" w:lineRule="auto"/>
      </w:pPr>
    </w:p>
    <w:p w14:paraId="6B2D7B2C">
      <w:pPr>
        <w:spacing w:line="360" w:lineRule="auto"/>
      </w:pPr>
    </w:p>
    <w:p w14:paraId="4ADB3C79">
      <w:pPr>
        <w:pStyle w:val="10"/>
        <w:tabs>
          <w:tab w:val="right" w:leader="dot" w:pos="8296"/>
        </w:tabs>
        <w:rPr>
          <w:rFonts w:asciiTheme="minorHAnsi" w:hAnsiTheme="minorHAnsi" w:eastAsiaTheme="minorEastAsia" w:cstheme="minorBidi"/>
          <w:szCs w:val="22"/>
        </w:rPr>
      </w:pPr>
      <w:r>
        <w:fldChar w:fldCharType="begin"/>
      </w:r>
      <w:r>
        <w:rPr>
          <w:rFonts w:hint="eastAsia"/>
        </w:rPr>
        <w:instrText xml:space="preserve">TOC \o "1-3" \h \z \u</w:instrText>
      </w:r>
      <w:r>
        <w:fldChar w:fldCharType="separate"/>
      </w:r>
      <w:r>
        <w:fldChar w:fldCharType="begin"/>
      </w:r>
      <w:r>
        <w:instrText xml:space="preserve"> HYPERLINK \l "_Toc495329463" </w:instrText>
      </w:r>
      <w:r>
        <w:fldChar w:fldCharType="separate"/>
      </w:r>
      <w:r>
        <w:rPr>
          <w:rStyle w:val="16"/>
          <w:rFonts w:hint="eastAsia"/>
        </w:rPr>
        <w:t>概述</w:t>
      </w:r>
      <w:r>
        <w:tab/>
      </w:r>
      <w:r>
        <w:fldChar w:fldCharType="begin"/>
      </w:r>
      <w:r>
        <w:instrText xml:space="preserve"> PAGEREF _Toc495329463 \h </w:instrText>
      </w:r>
      <w:r>
        <w:fldChar w:fldCharType="separate"/>
      </w:r>
      <w:r>
        <w:t>3</w:t>
      </w:r>
      <w:r>
        <w:fldChar w:fldCharType="end"/>
      </w:r>
      <w:r>
        <w:fldChar w:fldCharType="end"/>
      </w:r>
    </w:p>
    <w:p w14:paraId="57ABC09A">
      <w:pPr>
        <w:pStyle w:val="10"/>
        <w:tabs>
          <w:tab w:val="right" w:leader="dot" w:pos="8296"/>
        </w:tabs>
        <w:rPr>
          <w:rFonts w:asciiTheme="minorHAnsi" w:hAnsiTheme="minorHAnsi" w:eastAsiaTheme="minorEastAsia" w:cstheme="minorBidi"/>
          <w:szCs w:val="22"/>
        </w:rPr>
      </w:pPr>
      <w:r>
        <w:fldChar w:fldCharType="begin"/>
      </w:r>
      <w:r>
        <w:instrText xml:space="preserve"> HYPERLINK \l "_Toc495329464" </w:instrText>
      </w:r>
      <w:r>
        <w:fldChar w:fldCharType="separate"/>
      </w:r>
      <w:r>
        <w:rPr>
          <w:rStyle w:val="16"/>
        </w:rPr>
        <w:t>1.</w:t>
      </w:r>
      <w:r>
        <w:rPr>
          <w:rStyle w:val="16"/>
          <w:rFonts w:hint="eastAsia"/>
        </w:rPr>
        <w:t>企业库入库</w:t>
      </w:r>
      <w:r>
        <w:tab/>
      </w:r>
      <w:r>
        <w:fldChar w:fldCharType="begin"/>
      </w:r>
      <w:r>
        <w:instrText xml:space="preserve"> PAGEREF _Toc495329464 \h </w:instrText>
      </w:r>
      <w:r>
        <w:fldChar w:fldCharType="separate"/>
      </w:r>
      <w:r>
        <w:t>3</w:t>
      </w:r>
      <w:r>
        <w:fldChar w:fldCharType="end"/>
      </w:r>
      <w:r>
        <w:fldChar w:fldCharType="end"/>
      </w:r>
    </w:p>
    <w:p w14:paraId="7308BB32">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"_Toc495329465" </w:instrText>
      </w:r>
      <w:r>
        <w:fldChar w:fldCharType="separate"/>
      </w:r>
      <w:r>
        <w:rPr>
          <w:rStyle w:val="16"/>
        </w:rPr>
        <w:t>1.1</w:t>
      </w:r>
      <w:r>
        <w:rPr>
          <w:rStyle w:val="16"/>
          <w:rFonts w:hint="eastAsia"/>
        </w:rPr>
        <w:t>注册方法及帮助文档下载</w:t>
      </w:r>
      <w:r>
        <w:tab/>
      </w:r>
      <w:r>
        <w:fldChar w:fldCharType="begin"/>
      </w:r>
      <w:r>
        <w:instrText xml:space="preserve"> PAGEREF _Toc495329465 \h </w:instrText>
      </w:r>
      <w:r>
        <w:fldChar w:fldCharType="separate"/>
      </w:r>
      <w:r>
        <w:t>3</w:t>
      </w:r>
      <w:r>
        <w:fldChar w:fldCharType="end"/>
      </w:r>
      <w:r>
        <w:fldChar w:fldCharType="end"/>
      </w:r>
    </w:p>
    <w:p w14:paraId="3102528B">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"_Toc495329466" </w:instrText>
      </w:r>
      <w:r>
        <w:fldChar w:fldCharType="separate"/>
      </w:r>
      <w:r>
        <w:rPr>
          <w:rStyle w:val="16"/>
        </w:rPr>
        <w:t>1.2</w:t>
      </w:r>
      <w:r>
        <w:rPr>
          <w:rStyle w:val="16"/>
          <w:rFonts w:hint="eastAsia"/>
        </w:rPr>
        <w:t>浏览器设置</w:t>
      </w:r>
      <w:r>
        <w:tab/>
      </w:r>
      <w:r>
        <w:fldChar w:fldCharType="begin"/>
      </w:r>
      <w:r>
        <w:instrText xml:space="preserve"> PAGEREF _Toc495329466 \h </w:instrText>
      </w:r>
      <w:r>
        <w:fldChar w:fldCharType="separate"/>
      </w:r>
      <w:r>
        <w:t>4</w:t>
      </w:r>
      <w:r>
        <w:fldChar w:fldCharType="end"/>
      </w:r>
      <w:r>
        <w:fldChar w:fldCharType="end"/>
      </w:r>
    </w:p>
    <w:p w14:paraId="41256F32">
      <w:pPr>
        <w:pStyle w:val="11"/>
        <w:tabs>
          <w:tab w:val="right" w:leader="dot" w:pos="8296"/>
        </w:tabs>
      </w:pPr>
      <w:r>
        <w:fldChar w:fldCharType="begin"/>
      </w:r>
      <w:r>
        <w:instrText xml:space="preserve"> HYPERLINK \l "_Toc495329467" </w:instrText>
      </w:r>
      <w:r>
        <w:fldChar w:fldCharType="separate"/>
      </w:r>
      <w:r>
        <w:rPr>
          <w:rStyle w:val="16"/>
        </w:rPr>
        <w:t>1.3</w:t>
      </w:r>
      <w:r>
        <w:rPr>
          <w:rStyle w:val="16"/>
          <w:rFonts w:hint="eastAsia"/>
        </w:rPr>
        <w:t>注册页面操作</w:t>
      </w:r>
      <w:r>
        <w:tab/>
      </w:r>
      <w:r>
        <w:fldChar w:fldCharType="begin"/>
      </w:r>
      <w:r>
        <w:instrText xml:space="preserve"> PAGEREF _Toc495329467 \h </w:instrText>
      </w:r>
      <w:r>
        <w:fldChar w:fldCharType="separate"/>
      </w:r>
      <w:r>
        <w:t>8</w:t>
      </w:r>
      <w:r>
        <w:fldChar w:fldCharType="end"/>
      </w:r>
      <w:r>
        <w:fldChar w:fldCharType="end"/>
      </w:r>
    </w:p>
    <w:p w14:paraId="54279CB1">
      <w:pPr>
        <w:ind w:firstLine="420" w:firstLineChars="200"/>
      </w:pPr>
      <w:r>
        <w:rPr>
          <w:rFonts w:hint="eastAsia"/>
        </w:rPr>
        <w:t>1.4个人信息完善......................................................................................................................9</w:t>
      </w:r>
    </w:p>
    <w:p w14:paraId="0EB30FBD">
      <w:pPr>
        <w:pStyle w:val="11"/>
        <w:tabs>
          <w:tab w:val="right" w:leader="dot" w:pos="8296"/>
        </w:tabs>
        <w:rPr>
          <w:rFonts w:asciiTheme="minorHAnsi" w:hAnsiTheme="minorHAnsi" w:cstheme="minorBidi"/>
          <w:szCs w:val="22"/>
        </w:rPr>
      </w:pPr>
      <w:r>
        <w:fldChar w:fldCharType="begin"/>
      </w:r>
      <w:r>
        <w:instrText xml:space="preserve"> HYPERLINK \l "_Toc495329468" </w:instrText>
      </w:r>
      <w:r>
        <w:fldChar w:fldCharType="separate"/>
      </w:r>
      <w:r>
        <w:rPr>
          <w:rStyle w:val="16"/>
        </w:rPr>
        <w:t>1.4</w:t>
      </w:r>
      <w:r>
        <w:rPr>
          <w:rStyle w:val="16"/>
          <w:rFonts w:hint="eastAsia"/>
        </w:rPr>
        <w:t>企业信息完善</w:t>
      </w:r>
      <w:r>
        <w:tab/>
      </w:r>
      <w:r>
        <w:rPr>
          <w:rFonts w:hint="eastAsia"/>
        </w:rPr>
        <w:t>1</w:t>
      </w:r>
      <w:r>
        <w:rPr>
          <w:rFonts w:hint="eastAsia"/>
        </w:rPr>
        <w:fldChar w:fldCharType="end"/>
      </w:r>
      <w:r>
        <w:rPr>
          <w:rFonts w:hint="eastAsia"/>
        </w:rPr>
        <w:t>1</w:t>
      </w:r>
    </w:p>
    <w:p w14:paraId="066F8C8C">
      <w:pPr>
        <w:pStyle w:val="10"/>
        <w:tabs>
          <w:tab w:val="right" w:leader="dot" w:pos="8296"/>
        </w:tabs>
        <w:rPr>
          <w:rFonts w:asciiTheme="minorHAnsi" w:hAnsiTheme="minorHAnsi" w:cstheme="minorBidi"/>
          <w:szCs w:val="22"/>
        </w:rPr>
      </w:pPr>
      <w:r>
        <w:fldChar w:fldCharType="begin"/>
      </w:r>
      <w:r>
        <w:instrText xml:space="preserve"> HYPERLINK \l "_Toc495329469" </w:instrText>
      </w:r>
      <w:r>
        <w:fldChar w:fldCharType="separate"/>
      </w:r>
      <w:r>
        <w:rPr>
          <w:rStyle w:val="16"/>
        </w:rPr>
        <w:t>2.</w:t>
      </w:r>
      <w:r>
        <w:rPr>
          <w:rStyle w:val="16"/>
          <w:rFonts w:hint="eastAsia"/>
        </w:rPr>
        <w:t>业务操作</w:t>
      </w:r>
      <w:r>
        <w:tab/>
      </w:r>
      <w:r>
        <w:rPr>
          <w:rFonts w:hint="eastAsia"/>
        </w:rPr>
        <w:t>1</w:t>
      </w:r>
      <w:r>
        <w:rPr>
          <w:rFonts w:hint="eastAsia"/>
        </w:rPr>
        <w:fldChar w:fldCharType="end"/>
      </w:r>
      <w:r>
        <w:rPr>
          <w:rFonts w:hint="eastAsia"/>
        </w:rPr>
        <w:t>4</w:t>
      </w:r>
    </w:p>
    <w:p w14:paraId="006F83E5">
      <w:pPr>
        <w:pStyle w:val="11"/>
        <w:tabs>
          <w:tab w:val="right" w:leader="dot" w:pos="8296"/>
        </w:tabs>
        <w:rPr>
          <w:rFonts w:asciiTheme="minorHAnsi" w:hAnsiTheme="minorHAnsi" w:cstheme="minorBidi"/>
          <w:szCs w:val="22"/>
        </w:rPr>
      </w:pPr>
      <w:r>
        <w:fldChar w:fldCharType="begin"/>
      </w:r>
      <w:r>
        <w:instrText xml:space="preserve"> HYPERLINK \l "_Toc495329470" </w:instrText>
      </w:r>
      <w:r>
        <w:fldChar w:fldCharType="separate"/>
      </w:r>
      <w:r>
        <w:rPr>
          <w:rStyle w:val="16"/>
        </w:rPr>
        <w:t>2.1</w:t>
      </w:r>
      <w:r>
        <w:rPr>
          <w:rStyle w:val="16"/>
          <w:rFonts w:hint="eastAsia"/>
        </w:rPr>
        <w:t>系统登录操作</w:t>
      </w:r>
      <w:r>
        <w:tab/>
      </w:r>
      <w:r>
        <w:rPr>
          <w:rFonts w:hint="eastAsia"/>
        </w:rPr>
        <w:t>1</w:t>
      </w:r>
      <w:r>
        <w:rPr>
          <w:rFonts w:hint="eastAsia"/>
        </w:rPr>
        <w:fldChar w:fldCharType="end"/>
      </w:r>
      <w:r>
        <w:rPr>
          <w:rFonts w:hint="eastAsia"/>
        </w:rPr>
        <w:t>4</w:t>
      </w:r>
    </w:p>
    <w:p w14:paraId="5123A209">
      <w:pPr>
        <w:pStyle w:val="6"/>
        <w:tabs>
          <w:tab w:val="right" w:leader="dot" w:pos="8296"/>
        </w:tabs>
        <w:rPr>
          <w:rFonts w:asciiTheme="minorHAnsi" w:hAnsiTheme="minorHAnsi" w:cstheme="minorBidi"/>
          <w:szCs w:val="22"/>
        </w:rPr>
      </w:pPr>
      <w:r>
        <w:fldChar w:fldCharType="begin"/>
      </w:r>
      <w:r>
        <w:instrText xml:space="preserve"> HYPERLINK \l "_Toc495329471" </w:instrText>
      </w:r>
      <w:r>
        <w:fldChar w:fldCharType="separate"/>
      </w:r>
      <w:r>
        <w:rPr>
          <w:rStyle w:val="16"/>
        </w:rPr>
        <w:t>2.1.1</w:t>
      </w:r>
      <w:r>
        <w:rPr>
          <w:rStyle w:val="16"/>
          <w:rFonts w:hint="eastAsia"/>
        </w:rPr>
        <w:t>产权竞买人登录</w:t>
      </w:r>
      <w:r>
        <w:tab/>
      </w:r>
      <w:r>
        <w:rPr>
          <w:rFonts w:hint="eastAsia"/>
        </w:rPr>
        <w:t>1</w:t>
      </w:r>
      <w:r>
        <w:rPr>
          <w:rFonts w:hint="eastAsia"/>
        </w:rPr>
        <w:fldChar w:fldCharType="end"/>
      </w:r>
      <w:r>
        <w:rPr>
          <w:rFonts w:hint="eastAsia"/>
        </w:rPr>
        <w:t>4</w:t>
      </w:r>
    </w:p>
    <w:p w14:paraId="5F0C15CD">
      <w:pPr>
        <w:pStyle w:val="11"/>
        <w:tabs>
          <w:tab w:val="right" w:leader="dot" w:pos="8296"/>
        </w:tabs>
        <w:rPr>
          <w:rFonts w:asciiTheme="minorHAnsi" w:hAnsiTheme="minorHAnsi" w:cstheme="minorBidi"/>
          <w:szCs w:val="22"/>
        </w:rPr>
      </w:pPr>
      <w:r>
        <w:fldChar w:fldCharType="begin"/>
      </w:r>
      <w:r>
        <w:instrText xml:space="preserve"> HYPERLINK \l "_Toc495329472" </w:instrText>
      </w:r>
      <w:r>
        <w:fldChar w:fldCharType="separate"/>
      </w:r>
      <w:r>
        <w:rPr>
          <w:rStyle w:val="16"/>
        </w:rPr>
        <w:t>2.2</w:t>
      </w:r>
      <w:r>
        <w:rPr>
          <w:rStyle w:val="16"/>
          <w:rFonts w:hint="eastAsia"/>
        </w:rPr>
        <w:t>标的报名</w:t>
      </w:r>
      <w:r>
        <w:tab/>
      </w:r>
      <w:r>
        <w:rPr>
          <w:rFonts w:hint="eastAsia"/>
        </w:rPr>
        <w:t>1</w:t>
      </w:r>
      <w:r>
        <w:rPr>
          <w:rFonts w:hint="eastAsia"/>
        </w:rPr>
        <w:fldChar w:fldCharType="end"/>
      </w:r>
      <w:r>
        <w:rPr>
          <w:rFonts w:hint="eastAsia"/>
        </w:rPr>
        <w:t>5</w:t>
      </w:r>
    </w:p>
    <w:p w14:paraId="6DAD394E">
      <w:pPr>
        <w:pStyle w:val="6"/>
        <w:tabs>
          <w:tab w:val="right" w:leader="dot" w:pos="8296"/>
        </w:tabs>
        <w:rPr>
          <w:rFonts w:asciiTheme="minorHAnsi" w:hAnsiTheme="minorHAnsi" w:cstheme="minorBidi"/>
          <w:szCs w:val="22"/>
        </w:rPr>
      </w:pPr>
      <w:r>
        <w:fldChar w:fldCharType="begin"/>
      </w:r>
      <w:r>
        <w:instrText xml:space="preserve"> HYPERLINK \l "_Toc495329473" </w:instrText>
      </w:r>
      <w:r>
        <w:fldChar w:fldCharType="separate"/>
      </w:r>
      <w:r>
        <w:rPr>
          <w:rStyle w:val="16"/>
        </w:rPr>
        <w:t>2.2.1</w:t>
      </w:r>
      <w:r>
        <w:rPr>
          <w:rStyle w:val="16"/>
          <w:rFonts w:hint="eastAsia"/>
        </w:rPr>
        <w:t>标的报名</w:t>
      </w:r>
      <w:r>
        <w:tab/>
      </w:r>
      <w:r>
        <w:rPr>
          <w:rFonts w:hint="eastAsia"/>
        </w:rPr>
        <w:t>1</w:t>
      </w:r>
      <w:r>
        <w:rPr>
          <w:rFonts w:hint="eastAsia"/>
        </w:rPr>
        <w:fldChar w:fldCharType="end"/>
      </w:r>
      <w:r>
        <w:rPr>
          <w:rFonts w:hint="eastAsia"/>
        </w:rPr>
        <w:t>5</w:t>
      </w:r>
    </w:p>
    <w:p w14:paraId="297C4B64">
      <w:pPr>
        <w:pStyle w:val="6"/>
        <w:tabs>
          <w:tab w:val="right" w:leader="dot" w:pos="8296"/>
        </w:tabs>
        <w:rPr>
          <w:rFonts w:asciiTheme="minorHAnsi" w:hAnsiTheme="minorHAnsi" w:cstheme="minorBidi"/>
          <w:szCs w:val="22"/>
        </w:rPr>
      </w:pPr>
      <w:r>
        <w:fldChar w:fldCharType="begin"/>
      </w:r>
      <w:r>
        <w:instrText xml:space="preserve"> HYPERLINK \l "_Toc495329474" </w:instrText>
      </w:r>
      <w:r>
        <w:fldChar w:fldCharType="separate"/>
      </w:r>
      <w:r>
        <w:rPr>
          <w:rStyle w:val="16"/>
        </w:rPr>
        <w:t>2.2.2</w:t>
      </w:r>
      <w:r>
        <w:rPr>
          <w:rStyle w:val="16"/>
          <w:rFonts w:hint="eastAsia"/>
        </w:rPr>
        <w:t>生成保证金子账号</w:t>
      </w:r>
      <w:r>
        <w:tab/>
      </w:r>
      <w:r>
        <w:rPr>
          <w:rFonts w:hint="eastAsia"/>
        </w:rPr>
        <w:t>1</w:t>
      </w:r>
      <w:r>
        <w:rPr>
          <w:rFonts w:hint="eastAsia"/>
        </w:rPr>
        <w:fldChar w:fldCharType="end"/>
      </w:r>
      <w:r>
        <w:rPr>
          <w:rFonts w:hint="eastAsia"/>
        </w:rPr>
        <w:t>6</w:t>
      </w:r>
    </w:p>
    <w:p w14:paraId="2064FE17">
      <w:pPr>
        <w:pStyle w:val="6"/>
        <w:tabs>
          <w:tab w:val="right" w:leader="dot" w:pos="8296"/>
        </w:tabs>
        <w:rPr>
          <w:rFonts w:asciiTheme="minorHAnsi" w:hAnsiTheme="minorHAnsi" w:cstheme="minorBidi"/>
          <w:szCs w:val="22"/>
        </w:rPr>
      </w:pPr>
      <w:r>
        <w:fldChar w:fldCharType="begin"/>
      </w:r>
      <w:r>
        <w:instrText xml:space="preserve"> HYPERLINK \l "_Toc495329475" </w:instrText>
      </w:r>
      <w:r>
        <w:fldChar w:fldCharType="separate"/>
      </w:r>
      <w:r>
        <w:rPr>
          <w:rStyle w:val="16"/>
        </w:rPr>
        <w:t>2.2.3</w:t>
      </w:r>
      <w:r>
        <w:rPr>
          <w:rStyle w:val="16"/>
          <w:rFonts w:hint="eastAsia"/>
        </w:rPr>
        <w:t>竞价资格检测</w:t>
      </w:r>
      <w:r>
        <w:tab/>
      </w:r>
      <w:r>
        <w:rPr>
          <w:rFonts w:hint="eastAsia"/>
        </w:rPr>
        <w:t>1</w:t>
      </w:r>
      <w:r>
        <w:rPr>
          <w:rFonts w:hint="eastAsia"/>
        </w:rPr>
        <w:fldChar w:fldCharType="end"/>
      </w:r>
      <w:r>
        <w:rPr>
          <w:rFonts w:hint="eastAsia"/>
        </w:rPr>
        <w:t>8</w:t>
      </w:r>
    </w:p>
    <w:p w14:paraId="5D748C20">
      <w:pPr>
        <w:pStyle w:val="11"/>
        <w:tabs>
          <w:tab w:val="right" w:leader="dot" w:pos="8296"/>
        </w:tabs>
        <w:rPr>
          <w:rFonts w:asciiTheme="minorHAnsi" w:hAnsiTheme="minorHAnsi" w:cstheme="minorBidi"/>
          <w:szCs w:val="22"/>
        </w:rPr>
      </w:pPr>
      <w:r>
        <w:fldChar w:fldCharType="begin"/>
      </w:r>
      <w:r>
        <w:instrText xml:space="preserve"> HYPERLINK \l "_Toc495329476" </w:instrText>
      </w:r>
      <w:r>
        <w:fldChar w:fldCharType="separate"/>
      </w:r>
      <w:r>
        <w:rPr>
          <w:rStyle w:val="16"/>
        </w:rPr>
        <w:t>2.3</w:t>
      </w:r>
      <w:r>
        <w:rPr>
          <w:rStyle w:val="16"/>
          <w:rFonts w:hint="eastAsia"/>
        </w:rPr>
        <w:t>标的竞价</w:t>
      </w:r>
      <w:r>
        <w:tab/>
      </w:r>
      <w:r>
        <w:rPr>
          <w:rFonts w:hint="eastAsia"/>
        </w:rPr>
        <w:t>1</w:t>
      </w:r>
      <w:r>
        <w:rPr>
          <w:rFonts w:hint="eastAsia"/>
        </w:rPr>
        <w:fldChar w:fldCharType="end"/>
      </w:r>
      <w:r>
        <w:rPr>
          <w:rFonts w:hint="eastAsia"/>
        </w:rPr>
        <w:t>9</w:t>
      </w:r>
    </w:p>
    <w:p w14:paraId="5B30844F">
      <w:pPr>
        <w:pStyle w:val="6"/>
        <w:tabs>
          <w:tab w:val="right" w:leader="dot" w:pos="8296"/>
        </w:tabs>
        <w:rPr>
          <w:rFonts w:asciiTheme="minorHAnsi" w:hAnsiTheme="minorHAnsi" w:cstheme="minorBidi"/>
          <w:szCs w:val="22"/>
        </w:rPr>
      </w:pPr>
      <w:r>
        <w:fldChar w:fldCharType="begin"/>
      </w:r>
      <w:r>
        <w:instrText xml:space="preserve"> HYPERLINK \l "_Toc495329477" </w:instrText>
      </w:r>
      <w:r>
        <w:fldChar w:fldCharType="separate"/>
      </w:r>
      <w:r>
        <w:rPr>
          <w:rStyle w:val="16"/>
        </w:rPr>
        <w:t>2.3.1</w:t>
      </w:r>
      <w:r>
        <w:rPr>
          <w:rStyle w:val="16"/>
          <w:rFonts w:hint="eastAsia"/>
        </w:rPr>
        <w:t>标的竞价</w:t>
      </w:r>
      <w:r>
        <w:tab/>
      </w:r>
      <w:r>
        <w:rPr>
          <w:rFonts w:hint="eastAsia"/>
        </w:rPr>
        <w:t>1</w:t>
      </w:r>
      <w:r>
        <w:rPr>
          <w:rFonts w:hint="eastAsia"/>
        </w:rPr>
        <w:fldChar w:fldCharType="end"/>
      </w:r>
      <w:r>
        <w:rPr>
          <w:rFonts w:hint="eastAsia"/>
        </w:rPr>
        <w:t>9</w:t>
      </w:r>
    </w:p>
    <w:p w14:paraId="6F50BEFC">
      <w:pPr>
        <w:pStyle w:val="6"/>
        <w:tabs>
          <w:tab w:val="right" w:leader="dot" w:pos="8296"/>
        </w:tabs>
        <w:rPr>
          <w:rFonts w:asciiTheme="minorHAnsi" w:hAnsiTheme="minorHAnsi" w:cstheme="minorBidi"/>
          <w:szCs w:val="22"/>
        </w:rPr>
      </w:pPr>
      <w:r>
        <w:fldChar w:fldCharType="begin"/>
      </w:r>
      <w:r>
        <w:instrText xml:space="preserve"> HYPERLINK \l "_Toc495329478" </w:instrText>
      </w:r>
      <w:r>
        <w:fldChar w:fldCharType="separate"/>
      </w:r>
      <w:r>
        <w:rPr>
          <w:rStyle w:val="16"/>
        </w:rPr>
        <w:t>2.3.2</w:t>
      </w:r>
      <w:r>
        <w:rPr>
          <w:rStyle w:val="16"/>
          <w:rFonts w:hint="eastAsia"/>
        </w:rPr>
        <w:t>当前最高报价.........................................................................................................21</w:t>
      </w:r>
      <w:r>
        <w:rPr>
          <w:rStyle w:val="16"/>
          <w:rFonts w:hint="eastAsia"/>
        </w:rPr>
        <w:fldChar w:fldCharType="end"/>
      </w:r>
    </w:p>
    <w:p w14:paraId="07BBC628">
      <w:pPr>
        <w:pStyle w:val="11"/>
        <w:tabs>
          <w:tab w:val="right" w:leader="dot" w:pos="8296"/>
        </w:tabs>
        <w:rPr>
          <w:rFonts w:asciiTheme="minorHAnsi" w:hAnsiTheme="minorHAnsi" w:cstheme="minorBidi"/>
          <w:szCs w:val="22"/>
        </w:rPr>
      </w:pPr>
      <w:r>
        <w:fldChar w:fldCharType="begin"/>
      </w:r>
      <w:r>
        <w:instrText xml:space="preserve"> HYPERLINK \l "_Toc495329479" </w:instrText>
      </w:r>
      <w:r>
        <w:fldChar w:fldCharType="separate"/>
      </w:r>
      <w:r>
        <w:rPr>
          <w:rStyle w:val="16"/>
        </w:rPr>
        <w:t>2.4</w:t>
      </w:r>
      <w:r>
        <w:rPr>
          <w:rStyle w:val="16"/>
          <w:rFonts w:hint="eastAsia"/>
        </w:rPr>
        <w:t>报价历史</w:t>
      </w:r>
      <w:r>
        <w:tab/>
      </w:r>
      <w:r>
        <w:rPr>
          <w:rFonts w:hint="eastAsia"/>
        </w:rPr>
        <w:t>2</w:t>
      </w:r>
      <w:r>
        <w:rPr>
          <w:rFonts w:hint="eastAsia"/>
        </w:rPr>
        <w:fldChar w:fldCharType="end"/>
      </w:r>
      <w:r>
        <w:rPr>
          <w:rFonts w:hint="eastAsia"/>
        </w:rPr>
        <w:t>2</w:t>
      </w:r>
    </w:p>
    <w:p w14:paraId="49ADA2B4">
      <w:pPr>
        <w:pStyle w:val="6"/>
        <w:tabs>
          <w:tab w:val="right" w:leader="dot" w:pos="8296"/>
        </w:tabs>
        <w:rPr>
          <w:rFonts w:asciiTheme="minorHAnsi" w:hAnsiTheme="minorHAnsi" w:cstheme="minorBidi"/>
          <w:szCs w:val="22"/>
        </w:rPr>
      </w:pPr>
    </w:p>
    <w:p w14:paraId="2547B9BF">
      <w:pPr>
        <w:widowControl/>
        <w:jc w:val="left"/>
      </w:pPr>
      <w:r>
        <w:fldChar w:fldCharType="end"/>
      </w:r>
    </w:p>
    <w:p w14:paraId="4BAD8C82">
      <w:pPr>
        <w:widowControl/>
        <w:jc w:val="left"/>
      </w:pPr>
      <w:r>
        <w:br w:type="page"/>
      </w:r>
    </w:p>
    <w:p w14:paraId="5BF432F0">
      <w:pPr>
        <w:pStyle w:val="2"/>
      </w:pPr>
      <w:bookmarkStart w:id="0" w:name="_Toc88967051"/>
      <w:bookmarkStart w:id="1" w:name="_Toc173380642"/>
      <w:bookmarkStart w:id="2" w:name="_Toc136942201"/>
      <w:bookmarkStart w:id="3" w:name="_Toc155090364"/>
      <w:bookmarkStart w:id="4" w:name="_Toc175540212"/>
      <w:bookmarkStart w:id="5" w:name="_Toc444690029"/>
      <w:bookmarkStart w:id="6" w:name="_Toc495329463"/>
      <w:bookmarkStart w:id="7" w:name="_Toc216949134"/>
      <w:bookmarkStart w:id="8" w:name="_Toc155002551"/>
      <w:bookmarkStart w:id="9" w:name="_Toc216949165"/>
      <w:r>
        <w:rPr>
          <w:rFonts w:hint="eastAsia"/>
        </w:rPr>
        <w:t>概述</w:t>
      </w:r>
      <w:bookmarkEnd w:id="0"/>
      <w:bookmarkEnd w:id="1"/>
      <w:bookmarkEnd w:id="2"/>
      <w:bookmarkEnd w:id="3"/>
      <w:bookmarkEnd w:id="4"/>
      <w:bookmarkEnd w:id="5"/>
      <w:bookmarkEnd w:id="6"/>
      <w:bookmarkEnd w:id="7"/>
      <w:bookmarkEnd w:id="8"/>
      <w:bookmarkEnd w:id="9"/>
    </w:p>
    <w:p w14:paraId="4253079D">
      <w:pPr>
        <w:spacing w:line="360" w:lineRule="auto"/>
        <w:ind w:firstLine="420" w:firstLineChars="200"/>
      </w:pPr>
      <w:r>
        <w:rPr>
          <w:rFonts w:hint="eastAsia"/>
        </w:rPr>
        <w:t>产权交易主要是对交易流程进行进场登记、标的划分、场地预约、公告发布、设定竞价规则，标的报名、标的竞价、资格审查以及成交合同等内容备案，同时实现虚拟子账户模式下保证金缴纳信息的自动查询匹配功能。</w:t>
      </w:r>
    </w:p>
    <w:p w14:paraId="0657F77E">
      <w:pPr>
        <w:spacing w:line="360" w:lineRule="auto"/>
        <w:ind w:firstLine="420" w:firstLineChars="200"/>
        <w:rPr>
          <w:color w:val="FF0000"/>
        </w:rPr>
      </w:pPr>
      <w:r>
        <w:rPr>
          <w:rFonts w:hint="eastAsia"/>
          <w:color w:val="FF0000"/>
        </w:rPr>
        <w:t>注意：如自备电脑，操作系统建议使用windows 7及以上版本操作系统，IE10或者IE11版本浏览器，1366*768及以上分辨率，配备2G以上内存，2M以上有线宽带网络。请务必使用微软IE10及以上版本浏览器登录竞价系统，采取其他浏览器可能导致电子竞价系统无法正常竞价。</w:t>
      </w:r>
    </w:p>
    <w:p w14:paraId="77BE4E00">
      <w:pPr>
        <w:spacing w:line="360" w:lineRule="auto"/>
        <w:ind w:firstLine="420" w:firstLineChars="200"/>
      </w:pPr>
      <w:r>
        <w:rPr>
          <w:rFonts w:hint="eastAsia"/>
        </w:rPr>
        <w:t>本文档主要对</w:t>
      </w:r>
      <w:r>
        <w:rPr>
          <w:rFonts w:hint="eastAsia"/>
          <w:b/>
        </w:rPr>
        <w:t>产权交易竞买人操作流程</w:t>
      </w:r>
      <w:r>
        <w:rPr>
          <w:rFonts w:hint="eastAsia"/>
        </w:rPr>
        <w:t>进行介绍说明。</w:t>
      </w:r>
    </w:p>
    <w:p w14:paraId="5AC33CCD">
      <w:pPr>
        <w:pStyle w:val="2"/>
      </w:pPr>
      <w:bookmarkStart w:id="10" w:name="_Toc495329464"/>
      <w:r>
        <w:rPr>
          <w:rFonts w:hint="eastAsia"/>
        </w:rPr>
        <w:t>1.企业库入库</w:t>
      </w:r>
      <w:bookmarkEnd w:id="10"/>
    </w:p>
    <w:p w14:paraId="0F006668">
      <w:pPr>
        <w:pStyle w:val="3"/>
      </w:pPr>
      <w:bookmarkStart w:id="11" w:name="_Toc495329465"/>
      <w:r>
        <w:rPr>
          <w:rFonts w:hint="eastAsia"/>
        </w:rPr>
        <w:t>1.1注册方法及帮助文档下载</w:t>
      </w:r>
      <w:bookmarkEnd w:id="11"/>
    </w:p>
    <w:p w14:paraId="562455E0">
      <w:pPr>
        <w:spacing w:line="360" w:lineRule="auto"/>
        <w:rPr>
          <w:rFonts w:hint="eastAsia"/>
        </w:rPr>
      </w:pPr>
      <w:r>
        <w:rPr>
          <w:rFonts w:hint="eastAsia"/>
        </w:rPr>
        <w:t>内蒙古自治区赤峰市公共资源交易中心网站登入口，产权竞价系统竞买人登录。</w:t>
      </w:r>
    </w:p>
    <w:p w14:paraId="4AFF6910">
      <w:pPr>
        <w:spacing w:line="360" w:lineRule="auto"/>
      </w:pPr>
      <w:r>
        <w:rPr>
          <w:rFonts w:hint="eastAsia"/>
        </w:rPr>
        <w:t>或者可直接输入系统登录地址：http://116.116.7.25:8877/TPBidder/login.aspx?ReturnUrl=%2fTPBidder%2f</w:t>
      </w:r>
    </w:p>
    <w:p w14:paraId="7B7A3EF6">
      <w:pPr>
        <w:spacing w:line="360" w:lineRule="auto"/>
      </w:pPr>
      <w:r>
        <w:rPr>
          <w:rFonts w:hint="eastAsia"/>
        </w:rPr>
        <w:t>第一次注册点击左下角“免费注册”按钮，根据系统提示完成相关操作</w:t>
      </w:r>
    </w:p>
    <w:p w14:paraId="1BCE4EBE">
      <w:pPr>
        <w:spacing w:line="360" w:lineRule="auto"/>
      </w:pPr>
      <w:r>
        <w:rPr>
          <w:rFonts w:hint="eastAsia"/>
        </w:rPr>
        <w:t>如下图所示：</w:t>
      </w:r>
    </w:p>
    <w:p w14:paraId="54AF8DBD">
      <w:pPr>
        <w:spacing w:line="360" w:lineRule="auto"/>
      </w:pPr>
      <w:r>
        <w:drawing>
          <wp:inline distT="0" distB="0" distL="114300" distR="114300">
            <wp:extent cx="5262245" cy="2510155"/>
            <wp:effectExtent l="0" t="0" r="14605" b="444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
                    <a:stretch>
                      <a:fillRect/>
                    </a:stretch>
                  </pic:blipFill>
                  <pic:spPr>
                    <a:xfrm>
                      <a:off x="0" y="0"/>
                      <a:ext cx="5262245" cy="2510155"/>
                    </a:xfrm>
                    <a:prstGeom prst="rect">
                      <a:avLst/>
                    </a:prstGeom>
                    <a:noFill/>
                    <a:ln>
                      <a:noFill/>
                    </a:ln>
                  </pic:spPr>
                </pic:pic>
              </a:graphicData>
            </a:graphic>
          </wp:inline>
        </w:drawing>
      </w:r>
    </w:p>
    <w:p w14:paraId="6DDD66C5">
      <w:pPr>
        <w:pStyle w:val="3"/>
      </w:pPr>
      <w:bookmarkStart w:id="12" w:name="_Toc495329466"/>
      <w:r>
        <w:rPr>
          <w:rFonts w:hint="eastAsia"/>
        </w:rPr>
        <w:t>1.2浏览器设置</w:t>
      </w:r>
      <w:bookmarkEnd w:id="12"/>
    </w:p>
    <w:p w14:paraId="61BC8EF9">
      <w:pPr>
        <w:spacing w:line="360" w:lineRule="auto"/>
        <w:ind w:firstLine="436" w:firstLineChars="200"/>
        <w:rPr>
          <w:spacing w:val="4"/>
        </w:rPr>
      </w:pPr>
      <w:r>
        <w:rPr>
          <w:rFonts w:hint="eastAsia"/>
          <w:spacing w:val="4"/>
        </w:rPr>
        <w:t>为了让系统插件能够正常工作，请按照以下步骤进行浏览器的配置。</w:t>
      </w:r>
    </w:p>
    <w:p w14:paraId="19C5C698">
      <w:pPr>
        <w:spacing w:line="360" w:lineRule="auto"/>
        <w:ind w:firstLine="420"/>
        <w:rPr>
          <w:spacing w:val="4"/>
        </w:rPr>
      </w:pPr>
      <w:r>
        <w:rPr>
          <w:spacing w:val="4"/>
        </w:rPr>
        <w:t>1</w:t>
      </w:r>
      <w:r>
        <w:rPr>
          <w:rFonts w:hint="eastAsia"/>
          <w:spacing w:val="4"/>
        </w:rPr>
        <w:t>、请</w:t>
      </w:r>
      <w:r>
        <w:rPr>
          <w:spacing w:val="4"/>
        </w:rPr>
        <w:t>选择IE</w:t>
      </w:r>
      <w:r>
        <w:rPr>
          <w:rFonts w:hint="eastAsia"/>
          <w:spacing w:val="4"/>
        </w:rPr>
        <w:t>浏览器。打开浏览器</w:t>
      </w:r>
      <w:r>
        <w:rPr>
          <w:rFonts w:hint="eastAsia" w:ascii="宋体" w:hAnsi="宋体"/>
          <w:spacing w:val="4"/>
        </w:rPr>
        <w:t>，打开</w:t>
      </w:r>
      <w:r>
        <w:rPr>
          <w:rFonts w:hint="eastAsia"/>
        </w:rPr>
        <w:t>http://116.116.7.25:8877/TPBidder/login.aspx?ReturnUrl=%2fTPBidder%2f后</w:t>
      </w:r>
      <w:r>
        <w:rPr>
          <w:rFonts w:hint="eastAsia" w:ascii="宋体" w:hAnsi="宋体"/>
          <w:spacing w:val="4"/>
        </w:rPr>
        <w:t xml:space="preserve">，点击 </w:t>
      </w:r>
      <w:r>
        <w:rPr>
          <w:rFonts w:hint="eastAsia" w:ascii="宋体" w:hAnsi="宋体"/>
        </w:rPr>
        <w:t>“工</w:t>
      </w:r>
      <w:r>
        <w:rPr>
          <w:rFonts w:hint="eastAsia" w:ascii="宋体" w:hAnsi="宋体"/>
          <w:spacing w:val="4"/>
        </w:rPr>
        <w:t>具”菜单→“Internet选项”，同时可以进行兼容性视图设置</w:t>
      </w:r>
    </w:p>
    <w:p w14:paraId="53606A6B">
      <w:pPr>
        <w:spacing w:line="360" w:lineRule="auto"/>
        <w:jc w:val="center"/>
        <w:rPr>
          <w:spacing w:val="4"/>
        </w:rPr>
      </w:pPr>
      <w:r>
        <w:drawing>
          <wp:inline distT="0" distB="0" distL="0" distR="0">
            <wp:extent cx="3581400" cy="31432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581400" cy="3143250"/>
                    </a:xfrm>
                    <a:prstGeom prst="rect">
                      <a:avLst/>
                    </a:prstGeom>
                    <a:noFill/>
                    <a:ln>
                      <a:noFill/>
                    </a:ln>
                  </pic:spPr>
                </pic:pic>
              </a:graphicData>
            </a:graphic>
          </wp:inline>
        </w:drawing>
      </w:r>
    </w:p>
    <w:p w14:paraId="34DF635D">
      <w:pPr>
        <w:spacing w:line="360" w:lineRule="auto"/>
        <w:ind w:firstLine="420"/>
        <w:rPr>
          <w:spacing w:val="4"/>
        </w:rPr>
      </w:pPr>
      <w:r>
        <w:rPr>
          <w:spacing w:val="4"/>
        </w:rPr>
        <w:t>2</w:t>
      </w:r>
      <w:r>
        <w:rPr>
          <w:rFonts w:hint="eastAsia"/>
          <w:spacing w:val="4"/>
        </w:rPr>
        <w:t>、弹出对话框之后，请选择</w:t>
      </w:r>
      <w:r>
        <w:rPr>
          <w:spacing w:val="4"/>
        </w:rPr>
        <w:t>“</w:t>
      </w:r>
      <w:r>
        <w:rPr>
          <w:rFonts w:hint="eastAsia"/>
          <w:spacing w:val="4"/>
        </w:rPr>
        <w:t>安全</w:t>
      </w:r>
      <w:r>
        <w:rPr>
          <w:spacing w:val="4"/>
        </w:rPr>
        <w:t>”</w:t>
      </w:r>
      <w:r>
        <w:rPr>
          <w:rFonts w:hint="eastAsia"/>
          <w:spacing w:val="4"/>
        </w:rPr>
        <w:t>选项卡，具体的界面如下图：</w:t>
      </w:r>
    </w:p>
    <w:p w14:paraId="78F3AE1D">
      <w:pPr>
        <w:spacing w:line="360" w:lineRule="auto"/>
        <w:jc w:val="center"/>
        <w:rPr>
          <w:spacing w:val="4"/>
        </w:rPr>
      </w:pPr>
      <w:r>
        <w:rPr>
          <w:spacing w:val="4"/>
        </w:rPr>
        <w:drawing>
          <wp:inline distT="0" distB="0" distL="0" distR="0">
            <wp:extent cx="2914650" cy="347662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14650" cy="3476625"/>
                    </a:xfrm>
                    <a:prstGeom prst="rect">
                      <a:avLst/>
                    </a:prstGeom>
                    <a:noFill/>
                    <a:ln>
                      <a:noFill/>
                    </a:ln>
                  </pic:spPr>
                </pic:pic>
              </a:graphicData>
            </a:graphic>
          </wp:inline>
        </w:drawing>
      </w:r>
    </w:p>
    <w:p w14:paraId="376B8BBE">
      <w:pPr>
        <w:spacing w:line="360" w:lineRule="auto"/>
        <w:ind w:firstLine="420"/>
        <w:rPr>
          <w:spacing w:val="4"/>
        </w:rPr>
      </w:pPr>
    </w:p>
    <w:p w14:paraId="33DCBF95">
      <w:pPr>
        <w:spacing w:line="360" w:lineRule="auto"/>
        <w:ind w:firstLine="436" w:firstLineChars="200"/>
        <w:rPr>
          <w:spacing w:val="4"/>
        </w:rPr>
      </w:pPr>
      <w:r>
        <w:rPr>
          <w:spacing w:val="4"/>
        </w:rPr>
        <w:t>3</w:t>
      </w:r>
      <w:r>
        <w:rPr>
          <w:rFonts w:hint="eastAsia"/>
          <w:spacing w:val="4"/>
        </w:rPr>
        <w:t>、</w:t>
      </w:r>
      <w:r>
        <w:rPr>
          <w:rFonts w:hint="eastAsia" w:ascii="宋体" w:hAnsi="宋体"/>
          <w:spacing w:val="4"/>
        </w:rPr>
        <w:t>点击绿色的“受信任的站点”的图片，会看到如下图所示的界面：</w:t>
      </w:r>
    </w:p>
    <w:p w14:paraId="36AE7C83">
      <w:pPr>
        <w:spacing w:line="360" w:lineRule="auto"/>
        <w:jc w:val="center"/>
        <w:rPr>
          <w:spacing w:val="4"/>
        </w:rPr>
      </w:pPr>
      <w:r>
        <mc:AlternateContent>
          <mc:Choice Requires="wps">
            <w:drawing>
              <wp:anchor distT="0" distB="0" distL="114300" distR="114300" simplePos="0" relativeHeight="251659264" behindDoc="0" locked="0" layoutInCell="1" allowOverlap="1">
                <wp:simplePos x="0" y="0"/>
                <wp:positionH relativeFrom="column">
                  <wp:posOffset>2724150</wp:posOffset>
                </wp:positionH>
                <wp:positionV relativeFrom="paragraph">
                  <wp:posOffset>1017270</wp:posOffset>
                </wp:positionV>
                <wp:extent cx="866775" cy="304800"/>
                <wp:effectExtent l="0" t="0" r="9525" b="76200"/>
                <wp:wrapNone/>
                <wp:docPr id="30" name="圆角矩形标注 62"/>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wedgeRoundRectCallout">
                          <a:avLst>
                            <a:gd name="adj1" fmla="val -44213"/>
                            <a:gd name="adj2" fmla="val 70000"/>
                            <a:gd name="adj3" fmla="val 16667"/>
                          </a:avLst>
                        </a:prstGeom>
                        <a:solidFill>
                          <a:srgbClr val="FFFFFF"/>
                        </a:solidFill>
                        <a:ln w="19050">
                          <a:solidFill>
                            <a:srgbClr val="FF0000"/>
                          </a:solidFill>
                          <a:miter lim="800000"/>
                        </a:ln>
                      </wps:spPr>
                      <wps:txbx>
                        <w:txbxContent>
                          <w:p w14:paraId="30297776">
                            <w:r>
                              <w:rPr>
                                <w:rFonts w:hint="eastAsia"/>
                              </w:rPr>
                              <w:t>选择站点</w:t>
                            </w:r>
                          </w:p>
                        </w:txbxContent>
                      </wps:txbx>
                      <wps:bodyPr rot="0" vert="horz" wrap="square" lIns="91440" tIns="45720" rIns="91440" bIns="45720" anchor="t" anchorCtr="0" upright="1">
                        <a:noAutofit/>
                      </wps:bodyPr>
                    </wps:wsp>
                  </a:graphicData>
                </a:graphic>
              </wp:anchor>
            </w:drawing>
          </mc:Choice>
          <mc:Fallback>
            <w:pict>
              <v:shape id="圆角矩形标注 62" o:spid="_x0000_s1026" o:spt="62" type="#_x0000_t62" style="position:absolute;left:0pt;margin-left:214.5pt;margin-top:80.1pt;height:24pt;width:68.25pt;z-index:251659264;mso-width-relative:page;mso-height-relative:page;" fillcolor="#FFFFFF" filled="t" stroked="t" coordsize="21600,21600" o:gfxdata="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zbsJnaAAAACwEAAA8A&#10;AAAAAAAAAQAgAAAAIgAAAGRycy9kb3ducmV2LnhtbFBLAQIUABQAAAAIAIdO4kB0ze6IhwIAAA8F&#10;AAAOAAAAAAAAAAEAIAAAACkBAABkcnMvZTJvRG9jLnhtbFBLBQYAAAAABgAGAFkBAAAiBgAAAAA=&#10;" adj="1250,25920,14400">
                <v:fill on="t" focussize="0,0"/>
                <v:stroke weight="1.5pt" color="#FF0000" miterlimit="8" joinstyle="miter"/>
                <v:imagedata o:title=""/>
                <o:lock v:ext="edit" aspectratio="f"/>
                <v:textbox>
                  <w:txbxContent>
                    <w:p w14:paraId="30297776">
                      <w:r>
                        <w:rPr>
                          <w:rFonts w:hint="eastAsia"/>
                        </w:rPr>
                        <w:t>选择站点</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1516380</wp:posOffset>
                </wp:positionH>
                <wp:positionV relativeFrom="paragraph">
                  <wp:posOffset>1472565</wp:posOffset>
                </wp:positionV>
                <wp:extent cx="800100" cy="495300"/>
                <wp:effectExtent l="0" t="266700" r="0" b="0"/>
                <wp:wrapNone/>
                <wp:docPr id="29" name="圆角矩形标注 61"/>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oundRectCallout">
                          <a:avLst>
                            <a:gd name="adj1" fmla="val -23491"/>
                            <a:gd name="adj2" fmla="val -97306"/>
                            <a:gd name="adj3" fmla="val 16667"/>
                          </a:avLst>
                        </a:prstGeom>
                        <a:solidFill>
                          <a:srgbClr val="FFFFFF"/>
                        </a:solidFill>
                        <a:ln w="19050">
                          <a:solidFill>
                            <a:srgbClr val="FF0000"/>
                          </a:solidFill>
                          <a:miter lim="800000"/>
                        </a:ln>
                      </wps:spPr>
                      <wps:txbx>
                        <w:txbxContent>
                          <w:p w14:paraId="324EFA25">
                            <w:r>
                              <w:rPr>
                                <w:rFonts w:hint="eastAsia"/>
                              </w:rPr>
                              <w:t>选择可信站点</w:t>
                            </w:r>
                          </w:p>
                        </w:txbxContent>
                      </wps:txbx>
                      <wps:bodyPr rot="0" vert="horz" wrap="square" lIns="91440" tIns="45720" rIns="91440" bIns="45720" anchor="t" anchorCtr="0" upright="1">
                        <a:noAutofit/>
                      </wps:bodyPr>
                    </wps:wsp>
                  </a:graphicData>
                </a:graphic>
              </wp:anchor>
            </w:drawing>
          </mc:Choice>
          <mc:Fallback>
            <w:pict>
              <v:shape id="圆角矩形标注 61" o:spid="_x0000_s1026" o:spt="62" type="#_x0000_t62" style="position:absolute;left:0pt;margin-left:119.4pt;margin-top:115.95pt;height:39pt;width:63pt;z-index:251660288;mso-width-relative:page;mso-height-relative:page;" fillcolor="#FFFFFF" filled="t" stroked="t" coordsize="21600,21600" o:gfxdata="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VRszdgAAAALAQAA&#10;DwAAAAAAAAABACAAAAAiAAAAZHJzL2Rvd25yZXYueG1sUEsBAhQAFAAAAAgAh07iQMxtWoyLAgAA&#10;EAUAAA4AAAAAAAAAAQAgAAAAJwEAAGRycy9lMm9Eb2MueG1sUEsFBgAAAAAGAAYAWQEAACQGAAAA&#10;AA==&#10;" adj="5726,-10218,14400">
                <v:fill on="t" focussize="0,0"/>
                <v:stroke weight="1.5pt" color="#FF0000" miterlimit="8" joinstyle="miter"/>
                <v:imagedata o:title=""/>
                <o:lock v:ext="edit" aspectratio="f"/>
                <v:textbox>
                  <w:txbxContent>
                    <w:p w14:paraId="324EFA25">
                      <w:r>
                        <w:rPr>
                          <w:rFonts w:hint="eastAsia"/>
                        </w:rPr>
                        <w:t>选择可信站点</w:t>
                      </w:r>
                    </w:p>
                  </w:txbxContent>
                </v:textbox>
              </v:shape>
            </w:pict>
          </mc:Fallback>
        </mc:AlternateContent>
      </w:r>
      <w:r>
        <w:rPr>
          <w:spacing w:val="4"/>
        </w:rPr>
        <w:drawing>
          <wp:inline distT="0" distB="0" distL="0" distR="0">
            <wp:extent cx="3209925" cy="383857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209925" cy="3838575"/>
                    </a:xfrm>
                    <a:prstGeom prst="rect">
                      <a:avLst/>
                    </a:prstGeom>
                    <a:noFill/>
                    <a:ln>
                      <a:noFill/>
                    </a:ln>
                  </pic:spPr>
                </pic:pic>
              </a:graphicData>
            </a:graphic>
          </wp:inline>
        </w:drawing>
      </w:r>
    </w:p>
    <w:p w14:paraId="5EEB8F12">
      <w:pPr>
        <w:spacing w:line="360" w:lineRule="auto"/>
        <w:ind w:firstLine="420"/>
        <w:rPr>
          <w:spacing w:val="4"/>
        </w:rPr>
      </w:pPr>
      <w:r>
        <w:rPr>
          <w:spacing w:val="4"/>
        </w:rPr>
        <w:t>4</w:t>
      </w:r>
      <w:r>
        <w:rPr>
          <w:rFonts w:hint="eastAsia"/>
          <w:spacing w:val="4"/>
        </w:rPr>
        <w:t>、点</w:t>
      </w:r>
      <w:r>
        <w:rPr>
          <w:rFonts w:hint="eastAsia" w:ascii="宋体" w:hAnsi="宋体"/>
          <w:spacing w:val="4"/>
        </w:rPr>
        <w:t xml:space="preserve">击“站点” </w:t>
      </w:r>
      <w:r>
        <w:rPr>
          <w:rFonts w:hint="eastAsia"/>
          <w:spacing w:val="4"/>
        </w:rPr>
        <w:t>按钮，出现如下对话框：</w:t>
      </w:r>
    </w:p>
    <w:p w14:paraId="0DDC8B72">
      <w:pPr>
        <w:spacing w:line="360" w:lineRule="auto"/>
        <w:jc w:val="center"/>
        <w:rPr>
          <w:spacing w:val="4"/>
        </w:rPr>
      </w:pPr>
      <w:r>
        <mc:AlternateContent>
          <mc:Choice Requires="wps">
            <w:drawing>
              <wp:anchor distT="0" distB="0" distL="114300" distR="114300" simplePos="0" relativeHeight="251661312" behindDoc="0" locked="0" layoutInCell="1" allowOverlap="1">
                <wp:simplePos x="0" y="0"/>
                <wp:positionH relativeFrom="column">
                  <wp:posOffset>1133475</wp:posOffset>
                </wp:positionH>
                <wp:positionV relativeFrom="paragraph">
                  <wp:posOffset>1426845</wp:posOffset>
                </wp:positionV>
                <wp:extent cx="914400" cy="609600"/>
                <wp:effectExtent l="133350" t="0" r="0" b="285750"/>
                <wp:wrapNone/>
                <wp:docPr id="28" name="圆角矩形标注 60"/>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wedgeRoundRectCallout">
                          <a:avLst>
                            <a:gd name="adj1" fmla="val -60417"/>
                            <a:gd name="adj2" fmla="val 91875"/>
                            <a:gd name="adj3" fmla="val 16667"/>
                          </a:avLst>
                        </a:prstGeom>
                        <a:solidFill>
                          <a:srgbClr val="FFFFFF"/>
                        </a:solidFill>
                        <a:ln w="19050">
                          <a:solidFill>
                            <a:srgbClr val="FF0000"/>
                          </a:solidFill>
                          <a:miter lim="800000"/>
                        </a:ln>
                      </wps:spPr>
                      <wps:txbx>
                        <w:txbxContent>
                          <w:p w14:paraId="7EA68A5A">
                            <w:r>
                              <w:rPr>
                                <w:rFonts w:hint="eastAsia"/>
                              </w:rPr>
                              <w:t>此处不选</w:t>
                            </w:r>
                          </w:p>
                        </w:txbxContent>
                      </wps:txbx>
                      <wps:bodyPr rot="0" vert="horz" wrap="square" lIns="91440" tIns="45720" rIns="91440" bIns="45720" anchor="t" anchorCtr="0" upright="1">
                        <a:noAutofit/>
                      </wps:bodyPr>
                    </wps:wsp>
                  </a:graphicData>
                </a:graphic>
              </wp:anchor>
            </w:drawing>
          </mc:Choice>
          <mc:Fallback>
            <w:pict>
              <v:shape id="圆角矩形标注 60" o:spid="_x0000_s1026" o:spt="62" type="#_x0000_t62" style="position:absolute;left:0pt;margin-left:89.25pt;margin-top:112.35pt;height:48pt;width:72pt;z-index:251661312;mso-width-relative:page;mso-height-relative:page;" fillcolor="#FFFFFF" filled="t" stroked="t" coordsize="21600,21600" o:gfxdata="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kElR42wAAAAsB&#10;AAAPAAAAAAAAAAEAIAAAACIAAABkcnMvZG93bnJldi54bWxQSwECFAAUAAAACACHTuJA93NhkooC&#10;AAAPBQAADgAAAAAAAAABACAAAAAqAQAAZHJzL2Uyb0RvYy54bWxQSwUGAAAAAAYABgBZAQAAJgYA&#10;AAAA&#10;" adj="-2250,30645,14400">
                <v:fill on="t" focussize="0,0"/>
                <v:stroke weight="1.5pt" color="#FF0000" miterlimit="8" joinstyle="miter"/>
                <v:imagedata o:title=""/>
                <o:lock v:ext="edit" aspectratio="f"/>
                <v:textbox>
                  <w:txbxContent>
                    <w:p w14:paraId="7EA68A5A">
                      <w:r>
                        <w:rPr>
                          <w:rFonts w:hint="eastAsia"/>
                        </w:rPr>
                        <w:t>此处不选</w:t>
                      </w:r>
                    </w:p>
                  </w:txbxContent>
                </v:textbox>
              </v:shape>
            </w:pict>
          </mc:Fallback>
        </mc:AlternateContent>
      </w:r>
      <w:r>
        <w:rPr>
          <w:spacing w:val="4"/>
        </w:rPr>
        <w:drawing>
          <wp:inline distT="0" distB="0" distL="0" distR="0">
            <wp:extent cx="3705225" cy="29718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05225" cy="2971800"/>
                    </a:xfrm>
                    <a:prstGeom prst="rect">
                      <a:avLst/>
                    </a:prstGeom>
                    <a:noFill/>
                    <a:ln>
                      <a:noFill/>
                    </a:ln>
                  </pic:spPr>
                </pic:pic>
              </a:graphicData>
            </a:graphic>
          </wp:inline>
        </w:drawing>
      </w:r>
    </w:p>
    <w:p w14:paraId="60DE4916">
      <w:pPr>
        <w:spacing w:line="360" w:lineRule="auto"/>
        <w:ind w:firstLine="420"/>
        <w:rPr>
          <w:spacing w:val="4"/>
        </w:rPr>
      </w:pPr>
      <w:r>
        <w:rPr>
          <w:rFonts w:hint="eastAsia"/>
          <w:spacing w:val="4"/>
        </w:rPr>
        <w:t>输入系统地址，</w:t>
      </w:r>
      <w:r>
        <w:rPr>
          <w:rFonts w:hint="eastAsia"/>
        </w:rPr>
        <w:t>http://116.116.7.25:8877/TPBidder/login.aspx?ReturnUrl=%2fTPBidder%2f</w:t>
      </w:r>
      <w:r>
        <w:rPr>
          <w:rFonts w:hint="eastAsia"/>
          <w:spacing w:val="4"/>
        </w:rPr>
        <w:t>，然后点击</w:t>
      </w:r>
      <w:r>
        <w:rPr>
          <w:spacing w:val="4"/>
        </w:rPr>
        <w:t>“</w:t>
      </w:r>
      <w:r>
        <w:rPr>
          <w:rFonts w:hint="eastAsia"/>
          <w:spacing w:val="4"/>
        </w:rPr>
        <w:t>添加</w:t>
      </w:r>
      <w:r>
        <w:rPr>
          <w:spacing w:val="4"/>
        </w:rPr>
        <w:t>”</w:t>
      </w:r>
      <w:r>
        <w:rPr>
          <w:rFonts w:hint="eastAsia"/>
          <w:spacing w:val="4"/>
        </w:rPr>
        <w:t>按钮完成添加，再按</w:t>
      </w:r>
      <w:r>
        <w:rPr>
          <w:spacing w:val="4"/>
        </w:rPr>
        <w:t>“</w:t>
      </w:r>
      <w:r>
        <w:rPr>
          <w:rFonts w:hint="eastAsia"/>
          <w:spacing w:val="4"/>
        </w:rPr>
        <w:t>关闭</w:t>
      </w:r>
      <w:r>
        <w:rPr>
          <w:spacing w:val="4"/>
        </w:rPr>
        <w:t>”</w:t>
      </w:r>
      <w:r>
        <w:rPr>
          <w:rFonts w:hint="eastAsia"/>
          <w:spacing w:val="4"/>
        </w:rPr>
        <w:t>按钮退出。</w:t>
      </w:r>
    </w:p>
    <w:p w14:paraId="4AA6C56E">
      <w:pPr>
        <w:spacing w:line="360" w:lineRule="auto"/>
        <w:ind w:firstLine="436" w:firstLineChars="200"/>
        <w:rPr>
          <w:spacing w:val="4"/>
        </w:rPr>
      </w:pPr>
      <w:r>
        <w:rPr>
          <w:spacing w:val="4"/>
        </w:rPr>
        <w:t>5</w:t>
      </w:r>
      <w:r>
        <w:rPr>
          <w:rFonts w:hint="eastAsia"/>
          <w:spacing w:val="4"/>
        </w:rPr>
        <w:t>、设置自定义安全级别，开放</w:t>
      </w:r>
      <w:r>
        <w:rPr>
          <w:spacing w:val="4"/>
        </w:rPr>
        <w:t>Activex</w:t>
      </w:r>
      <w:r>
        <w:rPr>
          <w:rFonts w:hint="eastAsia"/>
          <w:spacing w:val="4"/>
        </w:rPr>
        <w:t>的访问权限：</w:t>
      </w:r>
    </w:p>
    <w:p w14:paraId="7AF0F123">
      <w:pPr>
        <w:spacing w:line="360" w:lineRule="auto"/>
        <w:jc w:val="center"/>
        <w:rPr>
          <w:spacing w:val="4"/>
        </w:rPr>
      </w:pPr>
      <w:r>
        <mc:AlternateContent>
          <mc:Choice Requires="wps">
            <w:drawing>
              <wp:anchor distT="0" distB="0" distL="114300" distR="114300" simplePos="0" relativeHeight="251662336" behindDoc="0" locked="0" layoutInCell="1" allowOverlap="1">
                <wp:simplePos x="0" y="0"/>
                <wp:positionH relativeFrom="column">
                  <wp:posOffset>1533525</wp:posOffset>
                </wp:positionH>
                <wp:positionV relativeFrom="paragraph">
                  <wp:posOffset>2278380</wp:posOffset>
                </wp:positionV>
                <wp:extent cx="1943100" cy="693420"/>
                <wp:effectExtent l="0" t="0" r="0" b="125730"/>
                <wp:wrapNone/>
                <wp:docPr id="27" name="圆角矩形标注 59"/>
                <wp:cNvGraphicFramePr/>
                <a:graphic xmlns:a="http://schemas.openxmlformats.org/drawingml/2006/main">
                  <a:graphicData uri="http://schemas.microsoft.com/office/word/2010/wordprocessingShape">
                    <wps:wsp>
                      <wps:cNvSpPr>
                        <a:spLocks noChangeArrowheads="1"/>
                      </wps:cNvSpPr>
                      <wps:spPr bwMode="auto">
                        <a:xfrm>
                          <a:off x="0" y="0"/>
                          <a:ext cx="1943100" cy="693420"/>
                        </a:xfrm>
                        <a:prstGeom prst="wedgeRoundRectCallout">
                          <a:avLst>
                            <a:gd name="adj1" fmla="val -491"/>
                            <a:gd name="adj2" fmla="val 67306"/>
                            <a:gd name="adj3" fmla="val 16667"/>
                          </a:avLst>
                        </a:prstGeom>
                        <a:solidFill>
                          <a:srgbClr val="FFFFFF"/>
                        </a:solidFill>
                        <a:ln w="19050">
                          <a:solidFill>
                            <a:srgbClr val="FF0000"/>
                          </a:solidFill>
                          <a:miter lim="800000"/>
                        </a:ln>
                      </wps:spPr>
                      <wps:txbx>
                        <w:txbxContent>
                          <w:p w14:paraId="3E0E418A">
                            <w:r>
                              <w:rPr>
                                <w:rFonts w:hint="eastAsia"/>
                              </w:rPr>
                              <w:t>点击“自定义级别”，注意一定要先选中上面的“受信任的站点”</w:t>
                            </w:r>
                          </w:p>
                        </w:txbxContent>
                      </wps:txbx>
                      <wps:bodyPr rot="0" vert="horz" wrap="square" lIns="91440" tIns="45720" rIns="91440" bIns="45720" anchor="t" anchorCtr="0" upright="1">
                        <a:noAutofit/>
                      </wps:bodyPr>
                    </wps:wsp>
                  </a:graphicData>
                </a:graphic>
              </wp:anchor>
            </w:drawing>
          </mc:Choice>
          <mc:Fallback>
            <w:pict>
              <v:shape id="圆角矩形标注 59" o:spid="_x0000_s1026" o:spt="62" type="#_x0000_t62" style="position:absolute;left:0pt;margin-left:120.75pt;margin-top:179.4pt;height:54.6pt;width:153pt;z-index:251662336;mso-width-relative:page;mso-height-relative:page;" fillcolor="#FFFFFF" filled="t" stroked="t" coordsize="21600,21600" o:gfxdata="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maw2+NkAAAALAQAA&#10;DwAAAAAAAAABACAAAAAiAAAAZHJzL2Rvd25yZXYueG1sUEsBAhQAFAAAAAgAh07iQPGceveKAgAA&#10;DgUAAA4AAAAAAAAAAQAgAAAAKAEAAGRycy9lMm9Eb2MueG1sUEsFBgAAAAAGAAYAWQEAACQGAAAA&#10;AA==&#10;" adj="10694,25338,14400">
                <v:fill on="t" focussize="0,0"/>
                <v:stroke weight="1.5pt" color="#FF0000" miterlimit="8" joinstyle="miter"/>
                <v:imagedata o:title=""/>
                <o:lock v:ext="edit" aspectratio="f"/>
                <v:textbox>
                  <w:txbxContent>
                    <w:p w14:paraId="3E0E418A">
                      <w:r>
                        <w:rPr>
                          <w:rFonts w:hint="eastAsia"/>
                        </w:rPr>
                        <w:t>点击“自定义级别”，注意一定要先选中上面的“受信任的站点”</w:t>
                      </w:r>
                    </w:p>
                  </w:txbxContent>
                </v:textbox>
              </v:shape>
            </w:pict>
          </mc:Fallback>
        </mc:AlternateContent>
      </w:r>
      <w:r>
        <w:rPr>
          <w:spacing w:val="4"/>
        </w:rPr>
        <w:drawing>
          <wp:inline distT="0" distB="0" distL="0" distR="0">
            <wp:extent cx="3409950" cy="4114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409950" cy="4114800"/>
                    </a:xfrm>
                    <a:prstGeom prst="rect">
                      <a:avLst/>
                    </a:prstGeom>
                    <a:noFill/>
                    <a:ln>
                      <a:noFill/>
                    </a:ln>
                  </pic:spPr>
                </pic:pic>
              </a:graphicData>
            </a:graphic>
          </wp:inline>
        </w:drawing>
      </w:r>
    </w:p>
    <w:p w14:paraId="085FC64D">
      <w:pPr>
        <w:spacing w:line="360" w:lineRule="auto"/>
        <w:ind w:firstLine="436" w:firstLineChars="200"/>
        <w:rPr>
          <w:spacing w:val="4"/>
        </w:rPr>
      </w:pPr>
      <w:r>
        <w:rPr>
          <w:rFonts w:hint="eastAsia" w:ascii="宋体" w:hAnsi="宋体" w:cs="宋体"/>
          <w:spacing w:val="4"/>
        </w:rPr>
        <w:t>①</w:t>
      </w:r>
      <w:r>
        <w:rPr>
          <w:rFonts w:hint="eastAsia"/>
          <w:spacing w:val="4"/>
        </w:rPr>
        <w:t>会出现一个窗口，把其中的</w:t>
      </w:r>
      <w:r>
        <w:rPr>
          <w:spacing w:val="4"/>
        </w:rPr>
        <w:t>Activex</w:t>
      </w:r>
      <w:r>
        <w:rPr>
          <w:rFonts w:hint="eastAsia"/>
          <w:spacing w:val="4"/>
        </w:rPr>
        <w:t>控件和插件的设置全部改为启用。</w:t>
      </w:r>
    </w:p>
    <w:p w14:paraId="5D4731BE">
      <w:pPr>
        <w:spacing w:line="360" w:lineRule="auto"/>
        <w:jc w:val="center"/>
        <w:rPr>
          <w:spacing w:val="4"/>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891540</wp:posOffset>
                </wp:positionV>
                <wp:extent cx="1988820" cy="312420"/>
                <wp:effectExtent l="171450" t="0" r="0" b="0"/>
                <wp:wrapNone/>
                <wp:docPr id="26" name="圆角矩形标注 58"/>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ln>
                      </wps:spPr>
                      <wps:txbx>
                        <w:txbxContent>
                          <w:p w14:paraId="2DC65F92">
                            <w:r>
                              <w:rPr>
                                <w:rFonts w:hint="eastAsia"/>
                              </w:rPr>
                              <w:t>选择启用（共</w:t>
                            </w:r>
                            <w:r>
                              <w:t>5</w:t>
                            </w:r>
                            <w:r>
                              <w:rPr>
                                <w:rFonts w:hint="eastAsia"/>
                              </w:rPr>
                              <w:t>个</w:t>
                            </w:r>
                            <w:r>
                              <w:t>ActiveX</w:t>
                            </w:r>
                            <w:r>
                              <w:rPr>
                                <w:rFonts w:hint="eastAsia"/>
                              </w:rPr>
                              <w:t>）</w:t>
                            </w:r>
                          </w:p>
                        </w:txbxContent>
                      </wps:txbx>
                      <wps:bodyPr rot="0" vert="horz" wrap="square" lIns="91440" tIns="45720" rIns="91440" bIns="45720" anchor="t" anchorCtr="0" upright="1">
                        <a:noAutofit/>
                      </wps:bodyPr>
                    </wps:wsp>
                  </a:graphicData>
                </a:graphic>
              </wp:anchor>
            </w:drawing>
          </mc:Choice>
          <mc:Fallback>
            <w:pict>
              <v:shape id="圆角矩形标注 58" o:spid="_x0000_s1026" o:spt="62" type="#_x0000_t62" style="position:absolute;left:0pt;margin-left:246.75pt;margin-top:70.2pt;height:24.6pt;width:156.6pt;z-index:251663360;mso-width-relative:page;mso-height-relative:page;" fillcolor="#FFFFFF" filled="t" stroked="t" coordsize="21600,21600" o:gfxdata="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7l3ct1wAAAAsBAAAP&#10;AAAAAAAAAAEAIAAAACIAAABkcnMvZG93bnJldi54bWxQSwECFAAUAAAACACHTuJAQcKF/4sCAAAQ&#10;BQAADgAAAAAAAAABACAAAAAmAQAAZHJzL2Uyb0RvYy54bWxQSwUGAAAAAAYABgBZAQAAIwYAAAAA&#10;" adj="-1448,8824,14400">
                <v:fill on="t" focussize="0,0"/>
                <v:stroke weight="1.5pt" color="#FF0000" miterlimit="8" joinstyle="miter"/>
                <v:imagedata o:title=""/>
                <o:lock v:ext="edit" aspectratio="f"/>
                <v:textbox>
                  <w:txbxContent>
                    <w:p w14:paraId="2DC65F92">
                      <w:r>
                        <w:rPr>
                          <w:rFonts w:hint="eastAsia"/>
                        </w:rPr>
                        <w:t>选择启用（共</w:t>
                      </w:r>
                      <w:r>
                        <w:t>5</w:t>
                      </w:r>
                      <w:r>
                        <w:rPr>
                          <w:rFonts w:hint="eastAsia"/>
                        </w:rPr>
                        <w:t>个</w:t>
                      </w:r>
                      <w:r>
                        <w:t>ActiveX</w:t>
                      </w:r>
                      <w:r>
                        <w:rPr>
                          <w:rFonts w:hint="eastAsia"/>
                        </w:rPr>
                        <w:t>）</w:t>
                      </w:r>
                    </w:p>
                  </w:txbxContent>
                </v:textbox>
              </v:shape>
            </w:pict>
          </mc:Fallback>
        </mc:AlternateContent>
      </w:r>
      <w:r>
        <w:rPr>
          <w:spacing w:val="4"/>
        </w:rPr>
        <w:drawing>
          <wp:inline distT="0" distB="0" distL="0" distR="0">
            <wp:extent cx="3448050" cy="36861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448050" cy="3686175"/>
                    </a:xfrm>
                    <a:prstGeom prst="rect">
                      <a:avLst/>
                    </a:prstGeom>
                    <a:noFill/>
                    <a:ln>
                      <a:noFill/>
                    </a:ln>
                  </pic:spPr>
                </pic:pic>
              </a:graphicData>
            </a:graphic>
          </wp:inline>
        </w:drawing>
      </w:r>
    </w:p>
    <w:p w14:paraId="0F4C2197">
      <w:pPr>
        <w:spacing w:line="360" w:lineRule="auto"/>
        <w:ind w:firstLine="420"/>
        <w:rPr>
          <w:spacing w:val="4"/>
        </w:rPr>
      </w:pPr>
      <w:r>
        <w:rPr>
          <w:rFonts w:hint="eastAsia" w:ascii="宋体" w:hAnsi="宋体" w:cs="宋体"/>
          <w:spacing w:val="4"/>
        </w:rPr>
        <w:t>②</w:t>
      </w:r>
      <w:r>
        <w:rPr>
          <w:rFonts w:hint="eastAsia"/>
          <w:spacing w:val="4"/>
        </w:rPr>
        <w:t>文件下载设置，开放文件下载的权限：设置为启用。</w:t>
      </w:r>
    </w:p>
    <w:p w14:paraId="76B14FFB">
      <w:pPr>
        <w:spacing w:line="360" w:lineRule="auto"/>
        <w:jc w:val="center"/>
        <w:rPr>
          <w:szCs w:val="21"/>
        </w:rPr>
      </w:pPr>
      <w:r>
        <w:rPr>
          <w:spacing w:val="4"/>
        </w:rPr>
        <w:drawing>
          <wp:inline distT="0" distB="0" distL="0" distR="0">
            <wp:extent cx="3524250" cy="37052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524250" cy="3705225"/>
                    </a:xfrm>
                    <a:prstGeom prst="rect">
                      <a:avLst/>
                    </a:prstGeom>
                    <a:noFill/>
                    <a:ln>
                      <a:noFill/>
                    </a:ln>
                  </pic:spPr>
                </pic:pic>
              </a:graphicData>
            </a:graphic>
          </wp:inline>
        </w:drawing>
      </w:r>
    </w:p>
    <w:p w14:paraId="0B563DE2"/>
    <w:p w14:paraId="0690B796">
      <w:pPr>
        <w:pStyle w:val="3"/>
      </w:pPr>
      <w:bookmarkStart w:id="13" w:name="_Toc495329467"/>
      <w:r>
        <w:rPr>
          <w:rFonts w:hint="eastAsia"/>
        </w:rPr>
        <w:t>1.3注册页面操作</w:t>
      </w:r>
      <w:bookmarkEnd w:id="13"/>
    </w:p>
    <w:p w14:paraId="78DF969B">
      <w:pPr>
        <w:spacing w:line="360" w:lineRule="auto"/>
      </w:pPr>
      <w:r>
        <w:rPr>
          <w:rFonts w:hint="eastAsia"/>
        </w:rPr>
        <w:t>1、点击“免费注册”后，在弹出页面中浏览注册协议，无异议后根据自身实际情况注册：如果是企业选择企业注册，个人选择个人注册，点击下方“同意”按钮，进入下一步操作，如下图：</w:t>
      </w:r>
    </w:p>
    <w:p w14:paraId="34A1C374">
      <w:r>
        <w:drawing>
          <wp:inline distT="0" distB="0" distL="0" distR="0">
            <wp:extent cx="5274310" cy="2842895"/>
            <wp:effectExtent l="19050" t="0" r="25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2"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3CD3F875">
      <w:pPr>
        <w:spacing w:line="360" w:lineRule="auto"/>
      </w:pPr>
      <w:r>
        <w:rPr>
          <w:rFonts w:hint="eastAsia"/>
        </w:rPr>
        <w:t>2、</w:t>
      </w:r>
    </w:p>
    <w:p w14:paraId="2AEF66A3">
      <w:pPr>
        <w:spacing w:line="360" w:lineRule="auto"/>
        <w:rPr>
          <w:color w:val="FF0000"/>
        </w:rPr>
      </w:pPr>
      <w:r>
        <w:rPr>
          <w:rFonts w:hint="eastAsia"/>
        </w:rPr>
        <w:t>1）</w:t>
      </w:r>
      <w:r>
        <w:rPr>
          <w:rFonts w:hint="eastAsia"/>
          <w:b/>
          <w:color w:val="FF0000"/>
        </w:rPr>
        <w:t>（个人注册页面）</w:t>
      </w:r>
      <w:r>
        <w:rPr>
          <w:rFonts w:hint="eastAsia"/>
        </w:rPr>
        <w:t>根据实际情况填写网员注册信息</w:t>
      </w:r>
      <w:r>
        <w:rPr>
          <w:rFonts w:hint="eastAsia"/>
          <w:b/>
          <w:color w:val="FF0000"/>
        </w:rPr>
        <w:t>（用户类型请选择“产权竞买人”）</w:t>
      </w:r>
      <w:r>
        <w:rPr>
          <w:rFonts w:hint="eastAsia"/>
        </w:rPr>
        <w:t>如下图：</w:t>
      </w:r>
    </w:p>
    <w:p w14:paraId="3D4155A7">
      <w:pPr>
        <w:spacing w:line="360" w:lineRule="auto"/>
      </w:pPr>
      <w:r>
        <w:rPr>
          <w:rFonts w:hint="eastAsia"/>
        </w:rPr>
        <w:drawing>
          <wp:inline distT="0" distB="0" distL="0" distR="0">
            <wp:extent cx="5274310" cy="2842895"/>
            <wp:effectExtent l="19050" t="0" r="254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noChangeArrowheads="1"/>
                    </pic:cNvPicPr>
                  </pic:nvPicPr>
                  <pic:blipFill>
                    <a:blip r:embed="rId13"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0E7FCABA">
      <w:pPr>
        <w:spacing w:line="360" w:lineRule="auto"/>
      </w:pPr>
      <w:r>
        <w:rPr>
          <w:rFonts w:hint="eastAsia"/>
        </w:rPr>
        <w:t>2)</w:t>
      </w:r>
      <w:r>
        <w:rPr>
          <w:rFonts w:hint="eastAsia"/>
          <w:b/>
          <w:color w:val="FF0000"/>
        </w:rPr>
        <w:t>（企业注册页面）</w:t>
      </w:r>
      <w:r>
        <w:rPr>
          <w:rFonts w:hint="eastAsia"/>
        </w:rPr>
        <w:t>根据实际情况填写网员注册信息</w:t>
      </w:r>
      <w:r>
        <w:rPr>
          <w:rFonts w:hint="eastAsia"/>
          <w:b/>
          <w:color w:val="FF0000"/>
        </w:rPr>
        <w:t>（用户类型请选择“竞买</w:t>
      </w:r>
      <w:r>
        <w:rPr>
          <w:b/>
          <w:color w:val="FF0000"/>
        </w:rPr>
        <w:t>单位</w:t>
      </w:r>
      <w:r>
        <w:rPr>
          <w:rFonts w:hint="eastAsia"/>
          <w:b/>
          <w:color w:val="FF0000"/>
        </w:rPr>
        <w:t>”）</w:t>
      </w:r>
      <w:r>
        <w:rPr>
          <w:rFonts w:hint="eastAsia"/>
        </w:rPr>
        <w:t>如下图：2）</w:t>
      </w:r>
      <w:r>
        <w:drawing>
          <wp:inline distT="0" distB="0" distL="0" distR="0">
            <wp:extent cx="5274310" cy="296926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14" cstate="print"/>
                    <a:srcRect/>
                    <a:stretch>
                      <a:fillRect/>
                    </a:stretch>
                  </pic:blipFill>
                  <pic:spPr>
                    <a:xfrm>
                      <a:off x="0" y="0"/>
                      <a:ext cx="5274310" cy="2969260"/>
                    </a:xfrm>
                    <a:prstGeom prst="rect">
                      <a:avLst/>
                    </a:prstGeom>
                    <a:noFill/>
                    <a:ln w="9525">
                      <a:noFill/>
                      <a:miter lim="800000"/>
                      <a:headEnd/>
                      <a:tailEnd/>
                    </a:ln>
                  </pic:spPr>
                </pic:pic>
              </a:graphicData>
            </a:graphic>
          </wp:inline>
        </w:drawing>
      </w:r>
    </w:p>
    <w:p w14:paraId="5790F9FD">
      <w:pPr>
        <w:spacing w:line="360" w:lineRule="auto"/>
      </w:pPr>
      <w:r>
        <w:rPr>
          <w:rFonts w:hint="eastAsia"/>
        </w:rPr>
        <w:t>3、再次确认申报信息后点击“确认”按钮，完成注册。（密码请保存好）。</w:t>
      </w:r>
    </w:p>
    <w:p w14:paraId="6FD3567E">
      <w:pPr>
        <w:spacing w:line="360" w:lineRule="auto"/>
        <w:rPr>
          <w:rFonts w:ascii="Arial" w:hAnsi="Arial"/>
          <w:b/>
          <w:bCs/>
          <w:sz w:val="30"/>
          <w:szCs w:val="32"/>
        </w:rPr>
      </w:pPr>
      <w:r>
        <w:rPr>
          <w:rFonts w:hint="eastAsia" w:ascii="Arial" w:hAnsi="Arial"/>
          <w:b/>
          <w:bCs/>
          <w:sz w:val="30"/>
          <w:szCs w:val="32"/>
        </w:rPr>
        <w:t>1.4自然人信息完善</w:t>
      </w:r>
    </w:p>
    <w:p w14:paraId="2FD3D400">
      <w:pPr>
        <w:spacing w:line="360" w:lineRule="auto"/>
        <w:ind w:firstLine="420"/>
        <w:jc w:val="left"/>
      </w:pPr>
      <w:r>
        <w:rPr>
          <w:rFonts w:hint="eastAsia"/>
        </w:rPr>
        <w:t>第一步：使用刚刚注册完成的账号密码登录赤峰市公共资源交易中心系统（网址：http://116.116.7.25:8877/TPBidder/login.aspx?ReturnUrl=%2fTPBidder%2f）点击修改信息，填写相关主体库信息，填写完毕后点击下一步，然后点击提交通过按钮，诚信库自动审核通过，刷新当前页面左侧会出现业务管理模块，即可开始进行项目报名。</w:t>
      </w:r>
    </w:p>
    <w:p w14:paraId="72C2EC6C">
      <w:pPr>
        <w:spacing w:line="360" w:lineRule="auto"/>
        <w:ind w:firstLine="420"/>
        <w:jc w:val="left"/>
      </w:pPr>
      <w:r>
        <w:rPr>
          <w:rFonts w:hint="eastAsia"/>
          <w:color w:val="EE0000"/>
        </w:rPr>
        <w:t>注：注意开户账号必须为本人/本单位的银行账户，后续缴纳保证金必须使用此账户进行转账缴纳。</w:t>
      </w:r>
      <w:r>
        <w:rPr>
          <w:color w:val="EE0000"/>
        </w:rPr>
        <w:t xml:space="preserve"> </w:t>
      </w:r>
      <w:r>
        <w:drawing>
          <wp:inline distT="0" distB="0" distL="0" distR="0">
            <wp:extent cx="5274310" cy="2656840"/>
            <wp:effectExtent l="0" t="0" r="2540" b="0"/>
            <wp:docPr id="345029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29946" name="图片 1"/>
                    <pic:cNvPicPr>
                      <a:picLocks noChangeAspect="1"/>
                    </pic:cNvPicPr>
                  </pic:nvPicPr>
                  <pic:blipFill>
                    <a:blip r:embed="rId15"/>
                    <a:stretch>
                      <a:fillRect/>
                    </a:stretch>
                  </pic:blipFill>
                  <pic:spPr>
                    <a:xfrm>
                      <a:off x="0" y="0"/>
                      <a:ext cx="5274310" cy="2656840"/>
                    </a:xfrm>
                    <a:prstGeom prst="rect">
                      <a:avLst/>
                    </a:prstGeom>
                  </pic:spPr>
                </pic:pic>
              </a:graphicData>
            </a:graphic>
          </wp:inline>
        </w:drawing>
      </w:r>
    </w:p>
    <w:p w14:paraId="3283CF14">
      <w:pPr>
        <w:spacing w:line="360" w:lineRule="auto"/>
        <w:rPr>
          <w:rFonts w:hint="eastAsia"/>
        </w:rPr>
      </w:pPr>
      <w:r>
        <w:drawing>
          <wp:inline distT="0" distB="0" distL="0" distR="0">
            <wp:extent cx="5274310" cy="1979295"/>
            <wp:effectExtent l="0" t="0" r="2540" b="1905"/>
            <wp:docPr id="1988126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26219" name="图片 1"/>
                    <pic:cNvPicPr>
                      <a:picLocks noChangeAspect="1"/>
                    </pic:cNvPicPr>
                  </pic:nvPicPr>
                  <pic:blipFill>
                    <a:blip r:embed="rId16"/>
                    <a:stretch>
                      <a:fillRect/>
                    </a:stretch>
                  </pic:blipFill>
                  <pic:spPr>
                    <a:xfrm>
                      <a:off x="0" y="0"/>
                      <a:ext cx="5274310" cy="1979295"/>
                    </a:xfrm>
                    <a:prstGeom prst="rect">
                      <a:avLst/>
                    </a:prstGeom>
                  </pic:spPr>
                </pic:pic>
              </a:graphicData>
            </a:graphic>
          </wp:inline>
        </w:drawing>
      </w:r>
    </w:p>
    <w:p w14:paraId="6D2BED6E">
      <w:pPr>
        <w:pStyle w:val="3"/>
      </w:pPr>
      <w:bookmarkStart w:id="14" w:name="_Toc495329468"/>
      <w:r>
        <w:rPr>
          <w:rFonts w:hint="eastAsia"/>
        </w:rPr>
        <w:t>1.5企业信息完善</w:t>
      </w:r>
      <w:bookmarkEnd w:id="14"/>
    </w:p>
    <w:p w14:paraId="27D17A2A">
      <w:pPr>
        <w:spacing w:line="360" w:lineRule="auto"/>
        <w:rPr>
          <w:rFonts w:hint="eastAsia"/>
          <w:b/>
          <w:color w:val="FF0000"/>
        </w:rPr>
      </w:pPr>
      <w:r>
        <w:rPr>
          <w:rFonts w:hint="eastAsia"/>
        </w:rPr>
        <w:t>同竞买人主体库完善一致，填写诚信库信息提交会自动审核通过。</w:t>
      </w:r>
    </w:p>
    <w:p w14:paraId="29BBEDD7">
      <w:pPr>
        <w:spacing w:line="360" w:lineRule="auto"/>
        <w:ind w:firstLine="420"/>
        <w:rPr>
          <w:b/>
          <w:color w:val="FF0000"/>
        </w:rPr>
      </w:pPr>
      <w:r>
        <w:rPr>
          <w:rFonts w:hint="eastAsia"/>
          <w:b/>
          <w:color w:val="FF0000"/>
        </w:rPr>
        <w:t>注：意向</w:t>
      </w:r>
      <w:r>
        <w:rPr>
          <w:b/>
          <w:color w:val="FF0000"/>
        </w:rPr>
        <w:t>受让方</w:t>
      </w:r>
      <w:r>
        <w:rPr>
          <w:rFonts w:hint="eastAsia"/>
          <w:b/>
          <w:color w:val="FF0000"/>
        </w:rPr>
        <w:t>名称</w:t>
      </w:r>
      <w:r>
        <w:rPr>
          <w:b/>
          <w:color w:val="FF0000"/>
        </w:rPr>
        <w:t>必须正确且与保证金缴纳账户</w:t>
      </w:r>
      <w:r>
        <w:rPr>
          <w:rFonts w:hint="eastAsia"/>
          <w:b/>
          <w:color w:val="FF0000"/>
        </w:rPr>
        <w:t>一致</w:t>
      </w:r>
      <w:r>
        <w:rPr>
          <w:b/>
          <w:color w:val="FF0000"/>
        </w:rPr>
        <w:t>，否则视为无效保证金</w:t>
      </w:r>
      <w:r>
        <w:rPr>
          <w:color w:val="FF0000"/>
        </w:rPr>
        <w:t>。</w:t>
      </w:r>
    </w:p>
    <w:p w14:paraId="29A0210E">
      <w:pPr>
        <w:pStyle w:val="2"/>
      </w:pPr>
      <w:bookmarkStart w:id="15" w:name="_Toc495329469"/>
      <w:r>
        <w:rPr>
          <w:rFonts w:hint="eastAsia"/>
        </w:rPr>
        <w:t>2.业务操作</w:t>
      </w:r>
      <w:bookmarkEnd w:id="15"/>
    </w:p>
    <w:p w14:paraId="7F20E8A7">
      <w:pPr>
        <w:pStyle w:val="3"/>
      </w:pPr>
      <w:bookmarkStart w:id="16" w:name="_Toc495329470"/>
      <w:r>
        <w:rPr>
          <w:rFonts w:hint="eastAsia"/>
        </w:rPr>
        <w:t>2.1系统登录操作</w:t>
      </w:r>
      <w:bookmarkEnd w:id="16"/>
    </w:p>
    <w:p w14:paraId="2C8A5551">
      <w:pPr>
        <w:pStyle w:val="4"/>
        <w:numPr>
          <w:ilvl w:val="0"/>
          <w:numId w:val="0"/>
        </w:numPr>
        <w:ind w:left="851" w:hanging="709"/>
      </w:pPr>
      <w:bookmarkStart w:id="17" w:name="_Toc495329471"/>
      <w:r>
        <w:rPr>
          <w:rFonts w:hint="eastAsia"/>
        </w:rPr>
        <w:t>2.1.1产权竞买人登录</w:t>
      </w:r>
      <w:bookmarkEnd w:id="17"/>
    </w:p>
    <w:p w14:paraId="51F7C7A3">
      <w:pPr>
        <w:spacing w:line="360" w:lineRule="auto"/>
      </w:pPr>
      <w:r>
        <w:rPr>
          <w:rFonts w:hint="eastAsia"/>
        </w:rPr>
        <w:t>赤峰市公共资源交易中心网站登入口，如下图：</w:t>
      </w:r>
    </w:p>
    <w:p w14:paraId="29B28F6F">
      <w:pPr>
        <w:spacing w:line="360" w:lineRule="auto"/>
      </w:pPr>
      <w:r>
        <w:drawing>
          <wp:inline distT="0" distB="0" distL="0" distR="0">
            <wp:extent cx="5274310" cy="250126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7" cstate="print"/>
                    <a:stretch>
                      <a:fillRect/>
                    </a:stretch>
                  </pic:blipFill>
                  <pic:spPr>
                    <a:xfrm>
                      <a:off x="0" y="0"/>
                      <a:ext cx="5274310" cy="2501635"/>
                    </a:xfrm>
                    <a:prstGeom prst="rect">
                      <a:avLst/>
                    </a:prstGeom>
                  </pic:spPr>
                </pic:pic>
              </a:graphicData>
            </a:graphic>
          </wp:inline>
        </w:drawing>
      </w:r>
    </w:p>
    <w:p w14:paraId="42355949">
      <w:pPr>
        <w:jc w:val="left"/>
      </w:pPr>
      <w:r>
        <w:rPr>
          <w:rFonts w:hint="eastAsia"/>
        </w:rPr>
        <w:t>或者可直接输入系统登录地址：http://116.116.7.25:8877/TPBidder/login.aspx?ReturnUrl=%2fTPBidder%2f</w:t>
      </w:r>
      <w:bookmarkStart w:id="27" w:name="_GoBack"/>
      <w:bookmarkEnd w:id="27"/>
    </w:p>
    <w:p w14:paraId="13AF15B2">
      <w:pPr>
        <w:spacing w:line="360" w:lineRule="auto"/>
      </w:pPr>
      <w:r>
        <w:rPr>
          <w:rFonts w:hint="eastAsia"/>
        </w:rPr>
        <w:t>如下图：</w:t>
      </w:r>
    </w:p>
    <w:p w14:paraId="3EE00EC7">
      <w:pPr>
        <w:spacing w:line="360" w:lineRule="auto"/>
      </w:pPr>
      <w:r>
        <w:drawing>
          <wp:inline distT="0" distB="0" distL="114300" distR="114300">
            <wp:extent cx="5262245" cy="3290570"/>
            <wp:effectExtent l="0" t="0" r="146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2245" cy="3290570"/>
                    </a:xfrm>
                    <a:prstGeom prst="rect">
                      <a:avLst/>
                    </a:prstGeom>
                    <a:noFill/>
                    <a:ln>
                      <a:noFill/>
                    </a:ln>
                  </pic:spPr>
                </pic:pic>
              </a:graphicData>
            </a:graphic>
          </wp:inline>
        </w:drawing>
      </w:r>
    </w:p>
    <w:p w14:paraId="34A3BC37">
      <w:pPr>
        <w:spacing w:line="360" w:lineRule="auto"/>
      </w:pPr>
    </w:p>
    <w:p w14:paraId="08784E3E">
      <w:pPr>
        <w:pStyle w:val="3"/>
      </w:pPr>
      <w:bookmarkStart w:id="18" w:name="_Toc495329472"/>
      <w:r>
        <w:rPr>
          <w:rFonts w:hint="eastAsia"/>
        </w:rPr>
        <w:t>2.2标的报名</w:t>
      </w:r>
      <w:bookmarkEnd w:id="18"/>
    </w:p>
    <w:p w14:paraId="0A5E6636">
      <w:pPr>
        <w:pStyle w:val="4"/>
        <w:numPr>
          <w:ilvl w:val="0"/>
          <w:numId w:val="0"/>
        </w:numPr>
        <w:ind w:left="851" w:hanging="709"/>
      </w:pPr>
      <w:bookmarkStart w:id="19" w:name="_Toc495329473"/>
      <w:r>
        <w:rPr>
          <w:rFonts w:hint="eastAsia"/>
        </w:rPr>
        <w:t>2.2.1标的报名</w:t>
      </w:r>
      <w:bookmarkEnd w:id="19"/>
    </w:p>
    <w:p w14:paraId="6283D63E">
      <w:pPr>
        <w:spacing w:line="360" w:lineRule="auto"/>
      </w:pPr>
      <w:r>
        <w:rPr>
          <w:rFonts w:hint="eastAsia"/>
        </w:rPr>
        <w:t>进入菜单：业务管理---标的报名，如下图所示</w:t>
      </w:r>
    </w:p>
    <w:p w14:paraId="76BF044D">
      <w:pPr>
        <w:spacing w:line="360" w:lineRule="auto"/>
      </w:pPr>
      <w:r>
        <w:rPr>
          <w:rFonts w:hint="eastAsia"/>
        </w:rPr>
        <w:t>在该页面选择报名状态为“报名中”，可查看每个标的的信息，如下图：</w:t>
      </w:r>
    </w:p>
    <w:p w14:paraId="191500E0">
      <w:pPr>
        <w:spacing w:line="360" w:lineRule="auto"/>
      </w:pPr>
      <w:r>
        <w:drawing>
          <wp:inline distT="0" distB="0" distL="0" distR="0">
            <wp:extent cx="5274310" cy="2841625"/>
            <wp:effectExtent l="19050" t="0" r="2540" b="0"/>
            <wp:docPr id="3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1"/>
                    <pic:cNvPicPr>
                      <a:picLocks noChangeAspect="1" noChangeArrowheads="1"/>
                    </pic:cNvPicPr>
                  </pic:nvPicPr>
                  <pic:blipFill>
                    <a:blip r:embed="rId1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5CF5170">
      <w:pPr>
        <w:spacing w:line="360" w:lineRule="auto"/>
        <w:jc w:val="left"/>
      </w:pPr>
      <w:r>
        <w:rPr>
          <w:rFonts w:hint="eastAsia"/>
        </w:rPr>
        <w:t>点击报名</w:t>
      </w:r>
      <w:r>
        <w:rPr>
          <w:rFonts w:hint="eastAsia"/>
        </w:rPr>
        <w:drawing>
          <wp:inline distT="0" distB="0" distL="0" distR="0">
            <wp:extent cx="342900" cy="352425"/>
            <wp:effectExtent l="19050" t="0" r="0" b="0"/>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noChangeArrowheads="1"/>
                    </pic:cNvPicPr>
                  </pic:nvPicPr>
                  <pic:blipFill>
                    <a:blip r:embed="rId19" cstate="print"/>
                    <a:srcRect/>
                    <a:stretch>
                      <a:fillRect/>
                    </a:stretch>
                  </pic:blipFill>
                  <pic:spPr>
                    <a:xfrm>
                      <a:off x="0" y="0"/>
                      <a:ext cx="342900" cy="352425"/>
                    </a:xfrm>
                    <a:prstGeom prst="rect">
                      <a:avLst/>
                    </a:prstGeom>
                    <a:noFill/>
                    <a:ln w="9525">
                      <a:noFill/>
                      <a:miter lim="800000"/>
                      <a:headEnd/>
                      <a:tailEnd/>
                    </a:ln>
                  </pic:spPr>
                </pic:pic>
              </a:graphicData>
            </a:graphic>
          </wp:inline>
        </w:drawing>
      </w:r>
      <w:r>
        <w:rPr>
          <w:rFonts w:hint="eastAsia"/>
        </w:rPr>
        <w:t>按钮后，打开报名信息页面，根据自身实际情况填写报名信息，上传资料，填写完成后点击‘添加保存’按钮，如下图：</w:t>
      </w:r>
      <w:r>
        <w:rPr>
          <w:rFonts w:hint="eastAsia"/>
          <w:b/>
          <w:color w:val="FF0000"/>
        </w:rPr>
        <w:t>（</w:t>
      </w:r>
      <w:r>
        <w:t xml:space="preserve"> </w:t>
      </w:r>
      <w:r>
        <w:drawing>
          <wp:inline distT="0" distB="0" distL="0" distR="0">
            <wp:extent cx="5274310" cy="2841625"/>
            <wp:effectExtent l="19050" t="0" r="2540" b="0"/>
            <wp:docPr id="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noChangeArrowheads="1"/>
                    </pic:cNvPicPr>
                  </pic:nvPicPr>
                  <pic:blipFill>
                    <a:blip r:embed="rId2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D741B25">
      <w:pPr>
        <w:pStyle w:val="4"/>
        <w:numPr>
          <w:ilvl w:val="0"/>
          <w:numId w:val="0"/>
        </w:numPr>
        <w:ind w:left="851" w:hanging="709"/>
      </w:pPr>
      <w:bookmarkStart w:id="20" w:name="_Toc495329474"/>
      <w:r>
        <w:rPr>
          <w:rFonts w:hint="eastAsia"/>
        </w:rPr>
        <w:t>2.2.2生成保证金子账号</w:t>
      </w:r>
      <w:bookmarkEnd w:id="20"/>
    </w:p>
    <w:p w14:paraId="3A420BAC">
      <w:pPr>
        <w:spacing w:line="360" w:lineRule="auto"/>
        <w:ind w:firstLine="420"/>
        <w:rPr>
          <w:color w:val="000000" w:themeColor="text1"/>
          <w14:textFill>
            <w14:solidFill>
              <w14:schemeClr w14:val="tx1"/>
            </w14:solidFill>
          </w14:textFill>
        </w:rPr>
      </w:pPr>
      <w:r>
        <w:rPr>
          <w:rFonts w:hint="eastAsia"/>
        </w:rPr>
        <w:t>添加保存完成后，再次点击报名按钮</w:t>
      </w:r>
      <w:r>
        <w:rPr>
          <w:rFonts w:hint="eastAsia"/>
        </w:rPr>
        <w:drawing>
          <wp:inline distT="0" distB="0" distL="0" distR="0">
            <wp:extent cx="381000" cy="361950"/>
            <wp:effectExtent l="19050" t="0" r="0" b="0"/>
            <wp:docPr id="4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7"/>
                    <pic:cNvPicPr>
                      <a:picLocks noChangeAspect="1" noChangeArrowheads="1"/>
                    </pic:cNvPicPr>
                  </pic:nvPicPr>
                  <pic:blipFill>
                    <a:blip r:embed="rId21" cstate="print"/>
                    <a:srcRect/>
                    <a:stretch>
                      <a:fillRect/>
                    </a:stretch>
                  </pic:blipFill>
                  <pic:spPr>
                    <a:xfrm>
                      <a:off x="0" y="0"/>
                      <a:ext cx="381000" cy="361950"/>
                    </a:xfrm>
                    <a:prstGeom prst="rect">
                      <a:avLst/>
                    </a:prstGeom>
                    <a:noFill/>
                    <a:ln w="9525">
                      <a:noFill/>
                      <a:miter lim="800000"/>
                      <a:headEnd/>
                      <a:tailEnd/>
                    </a:ln>
                  </pic:spPr>
                </pic:pic>
              </a:graphicData>
            </a:graphic>
          </wp:inline>
        </w:drawing>
      </w:r>
      <w:r>
        <w:rPr>
          <w:rFonts w:hint="eastAsia"/>
        </w:rPr>
        <w:t>打开报名信息页面后，左上角多出一个‘生成保证金子账号’按钮。</w:t>
      </w:r>
      <w:r>
        <w:rPr>
          <w:rFonts w:hint="eastAsia"/>
          <w:color w:val="000000" w:themeColor="text1"/>
          <w14:textFill>
            <w14:solidFill>
              <w14:schemeClr w14:val="tx1"/>
            </w14:solidFill>
          </w14:textFill>
        </w:rPr>
        <w:t>如下图：</w:t>
      </w:r>
    </w:p>
    <w:p w14:paraId="12C685ED">
      <w:pPr>
        <w:spacing w:line="360" w:lineRule="auto"/>
        <w:ind w:firstLine="420"/>
        <w:rPr>
          <w:color w:val="FF0000"/>
        </w:rPr>
      </w:pPr>
      <w:r>
        <w:rPr>
          <w:color w:val="FF0000"/>
        </w:rPr>
        <w:drawing>
          <wp:inline distT="0" distB="0" distL="0" distR="0">
            <wp:extent cx="5274310" cy="2841625"/>
            <wp:effectExtent l="19050" t="0" r="2540" b="0"/>
            <wp:docPr id="5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0"/>
                    <pic:cNvPicPr>
                      <a:picLocks noChangeAspect="1" noChangeArrowheads="1"/>
                    </pic:cNvPicPr>
                  </pic:nvPicPr>
                  <pic:blipFill>
                    <a:blip r:embed="rId2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50C90AA">
      <w:pPr>
        <w:spacing w:line="360" w:lineRule="auto"/>
        <w:ind w:firstLine="420"/>
        <w:rPr>
          <w:color w:val="FF0000"/>
        </w:rPr>
      </w:pPr>
    </w:p>
    <w:p w14:paraId="2E16B31C">
      <w:pPr>
        <w:spacing w:line="360" w:lineRule="auto"/>
        <w:ind w:firstLine="210" w:firstLineChars="100"/>
      </w:pPr>
      <w:r>
        <w:rPr>
          <w:rFonts w:hint="eastAsia"/>
        </w:rPr>
        <w:t>点击‘生成保证金子账号’按钮，生成保证金子账号过程中会与银行进行数据交互，保证金子账号生成后会提示‘成功’等字样，点击‘完成’即可。如图：</w:t>
      </w:r>
    </w:p>
    <w:p w14:paraId="37E1FB7C">
      <w:pPr>
        <w:spacing w:line="360" w:lineRule="auto"/>
      </w:pPr>
      <w:r>
        <w:drawing>
          <wp:inline distT="0" distB="0" distL="0" distR="0">
            <wp:extent cx="5274310" cy="2841625"/>
            <wp:effectExtent l="19050" t="0" r="2540" b="0"/>
            <wp:docPr id="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3"/>
                    <pic:cNvPicPr>
                      <a:picLocks noChangeAspect="1" noChangeArrowheads="1"/>
                    </pic:cNvPicPr>
                  </pic:nvPicPr>
                  <pic:blipFill>
                    <a:blip r:embed="rId2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1A3DCF90">
      <w:pPr>
        <w:spacing w:line="360" w:lineRule="auto"/>
        <w:rPr>
          <w:rFonts w:hint="eastAsia"/>
          <w:b/>
          <w:color w:val="FF0000"/>
        </w:rPr>
      </w:pPr>
      <w:r>
        <w:rPr>
          <w:rFonts w:hint="eastAsia"/>
          <w:b/>
          <w:color w:val="FF0000"/>
        </w:rPr>
        <w:t>注：点击‘完成’按钮后需刷新页面才会显示子账号信息</w:t>
      </w:r>
    </w:p>
    <w:p w14:paraId="50509310">
      <w:pPr>
        <w:spacing w:line="360" w:lineRule="auto"/>
      </w:pPr>
      <w:r>
        <w:rPr>
          <w:rFonts w:hint="eastAsia"/>
        </w:rPr>
        <w:t>保证金子账号生成后如下图</w:t>
      </w:r>
    </w:p>
    <w:p w14:paraId="3E26BF27">
      <w:pPr>
        <w:spacing w:line="360" w:lineRule="auto"/>
      </w:pPr>
      <w:r>
        <w:drawing>
          <wp:inline distT="0" distB="0" distL="0" distR="0">
            <wp:extent cx="5274310" cy="2841625"/>
            <wp:effectExtent l="19050" t="0" r="2540" b="0"/>
            <wp:docPr id="6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6"/>
                    <pic:cNvPicPr>
                      <a:picLocks noChangeAspect="1" noChangeArrowheads="1"/>
                    </pic:cNvPicPr>
                  </pic:nvPicPr>
                  <pic:blipFill>
                    <a:blip r:embed="rId2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F801C0C">
      <w:pPr>
        <w:spacing w:line="360" w:lineRule="auto"/>
        <w:rPr>
          <w:color w:val="FF0000"/>
        </w:rPr>
      </w:pPr>
      <w:r>
        <w:rPr>
          <w:rFonts w:hint="eastAsia"/>
          <w:color w:val="FF0000"/>
        </w:rPr>
        <w:t>注：1、</w:t>
      </w:r>
      <w:r>
        <w:rPr>
          <w:rFonts w:hint="eastAsia"/>
          <w:b/>
          <w:color w:val="FF0000"/>
        </w:rPr>
        <w:t>保证金必须存入系统生成的保证</w:t>
      </w:r>
      <w:r>
        <w:rPr>
          <w:b/>
          <w:color w:val="FF0000"/>
        </w:rPr>
        <w:t>金</w:t>
      </w:r>
      <w:r>
        <w:rPr>
          <w:rFonts w:hint="eastAsia"/>
          <w:b/>
          <w:color w:val="FF0000"/>
        </w:rPr>
        <w:t>子账号中</w:t>
      </w:r>
      <w:r>
        <w:rPr>
          <w:rFonts w:hint="eastAsia"/>
          <w:color w:val="FF0000"/>
        </w:rPr>
        <w:t>（</w:t>
      </w:r>
      <w:r>
        <w:rPr>
          <w:color w:val="FF0000"/>
        </w:rPr>
        <w:t>成交后</w:t>
      </w:r>
      <w:r>
        <w:rPr>
          <w:rFonts w:hint="eastAsia"/>
          <w:color w:val="FF0000"/>
        </w:rPr>
        <w:t>，</w:t>
      </w:r>
      <w:r>
        <w:rPr>
          <w:b/>
          <w:color w:val="FF0000"/>
        </w:rPr>
        <w:t>成交价款</w:t>
      </w:r>
      <w:r>
        <w:rPr>
          <w:rFonts w:hint="eastAsia"/>
          <w:b/>
          <w:color w:val="FF0000"/>
        </w:rPr>
        <w:t>支付按公告要求支付</w:t>
      </w:r>
      <w:r>
        <w:rPr>
          <w:color w:val="FF0000"/>
        </w:rPr>
        <w:t>）</w:t>
      </w:r>
      <w:r>
        <w:rPr>
          <w:rFonts w:hint="eastAsia"/>
          <w:color w:val="FF0000"/>
        </w:rPr>
        <w:t>，并且足额缴纳后才可以进行标的竞价。</w:t>
      </w:r>
    </w:p>
    <w:p w14:paraId="20C0F33E">
      <w:pPr>
        <w:spacing w:line="360" w:lineRule="auto"/>
        <w:ind w:firstLine="420" w:firstLineChars="200"/>
        <w:rPr>
          <w:color w:val="FF0000"/>
        </w:rPr>
      </w:pPr>
      <w:r>
        <w:rPr>
          <w:rFonts w:hint="eastAsia"/>
          <w:color w:val="FF0000"/>
        </w:rPr>
        <w:t>2、保证金缴纳截止时间之前请缴纳足额保证金，否则视为竞价资格不满足，无法参与竞价。报名截止时间即保证金缴纳截止时间。</w:t>
      </w:r>
    </w:p>
    <w:p w14:paraId="2540672B">
      <w:pPr>
        <w:pStyle w:val="4"/>
        <w:numPr>
          <w:ilvl w:val="0"/>
          <w:numId w:val="0"/>
        </w:numPr>
        <w:ind w:left="851" w:hanging="709"/>
      </w:pPr>
      <w:bookmarkStart w:id="21" w:name="_Toc495329475"/>
      <w:r>
        <w:rPr>
          <w:rFonts w:hint="eastAsia"/>
        </w:rPr>
        <w:t>2.2.3竞价资格检测</w:t>
      </w:r>
      <w:bookmarkEnd w:id="21"/>
    </w:p>
    <w:p w14:paraId="32C2A7B3">
      <w:pPr>
        <w:ind w:firstLine="422" w:firstLineChars="200"/>
      </w:pPr>
      <w:r>
        <w:rPr>
          <w:rFonts w:hint="eastAsia"/>
          <w:b/>
          <w:color w:val="FF0000"/>
        </w:rPr>
        <w:t>为</w:t>
      </w:r>
      <w:r>
        <w:rPr>
          <w:b/>
          <w:color w:val="FF0000"/>
        </w:rPr>
        <w:t>保证能够</w:t>
      </w:r>
      <w:r>
        <w:rPr>
          <w:rFonts w:hint="eastAsia"/>
          <w:b/>
          <w:color w:val="FF0000"/>
        </w:rPr>
        <w:t>正常</w:t>
      </w:r>
      <w:r>
        <w:rPr>
          <w:b/>
          <w:color w:val="FF0000"/>
        </w:rPr>
        <w:t>参与</w:t>
      </w:r>
      <w:r>
        <w:rPr>
          <w:rFonts w:hint="eastAsia"/>
          <w:b/>
          <w:color w:val="FF0000"/>
        </w:rPr>
        <w:t>标</w:t>
      </w:r>
      <w:r>
        <w:rPr>
          <w:b/>
          <w:color w:val="FF0000"/>
        </w:rPr>
        <w:t>的竞价，</w:t>
      </w:r>
      <w:r>
        <w:rPr>
          <w:rFonts w:hint="eastAsia"/>
          <w:b/>
          <w:color w:val="FF0000"/>
        </w:rPr>
        <w:t>保证金缴纳后，</w:t>
      </w:r>
      <w:r>
        <w:rPr>
          <w:b/>
          <w:color w:val="FF0000"/>
        </w:rPr>
        <w:t>请</w:t>
      </w:r>
      <w:r>
        <w:rPr>
          <w:rFonts w:hint="eastAsia"/>
          <w:b/>
          <w:color w:val="FF0000"/>
        </w:rPr>
        <w:t>检测</w:t>
      </w:r>
      <w:r>
        <w:rPr>
          <w:b/>
          <w:color w:val="FF0000"/>
        </w:rPr>
        <w:t>竞价资格。</w:t>
      </w:r>
      <w:r>
        <w:rPr>
          <w:rFonts w:hint="eastAsia"/>
        </w:rPr>
        <w:t>点击竞价资格检测按钮</w:t>
      </w:r>
      <w:r>
        <w:rPr>
          <w:rFonts w:hint="eastAsia"/>
        </w:rPr>
        <w:drawing>
          <wp:inline distT="0" distB="0" distL="0" distR="0">
            <wp:extent cx="400050" cy="390525"/>
            <wp:effectExtent l="19050" t="0" r="0" b="0"/>
            <wp:docPr id="6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9"/>
                    <pic:cNvPicPr>
                      <a:picLocks noChangeAspect="1" noChangeArrowheads="1"/>
                    </pic:cNvPicPr>
                  </pic:nvPicPr>
                  <pic:blipFill>
                    <a:blip r:embed="rId25" cstate="print"/>
                    <a:srcRect/>
                    <a:stretch>
                      <a:fillRect/>
                    </a:stretch>
                  </pic:blipFill>
                  <pic:spPr>
                    <a:xfrm>
                      <a:off x="0" y="0"/>
                      <a:ext cx="400050" cy="390525"/>
                    </a:xfrm>
                    <a:prstGeom prst="rect">
                      <a:avLst/>
                    </a:prstGeom>
                    <a:noFill/>
                    <a:ln w="9525">
                      <a:noFill/>
                      <a:miter lim="800000"/>
                      <a:headEnd/>
                      <a:tailEnd/>
                    </a:ln>
                  </pic:spPr>
                </pic:pic>
              </a:graphicData>
            </a:graphic>
          </wp:inline>
        </w:drawing>
      </w:r>
      <w:r>
        <w:rPr>
          <w:rFonts w:hint="eastAsia"/>
        </w:rPr>
        <w:t>，检测是否满足竞价资格，如果未缴纳保证金或未足额缴纳保证金，系统提醒保证金金额缴纳不够请缴纳保证金，如下图</w:t>
      </w:r>
    </w:p>
    <w:p w14:paraId="70A85803">
      <w:pPr>
        <w:rPr>
          <w:b/>
          <w:color w:val="FF0000"/>
        </w:rPr>
      </w:pPr>
      <w:r>
        <w:rPr>
          <w:rFonts w:hint="eastAsia"/>
          <w:b/>
          <w:color w:val="FF0000"/>
        </w:rPr>
        <w:t>注意</w:t>
      </w:r>
      <w:r>
        <w:rPr>
          <w:b/>
          <w:color w:val="FF0000"/>
        </w:rPr>
        <w:t>：</w:t>
      </w:r>
      <w:r>
        <w:rPr>
          <w:rFonts w:hint="eastAsia"/>
          <w:b/>
          <w:color w:val="FF0000"/>
        </w:rPr>
        <w:t>1、</w:t>
      </w:r>
      <w:r>
        <w:rPr>
          <w:b/>
          <w:color w:val="FF0000"/>
        </w:rPr>
        <w:t>保证金缴纳账户与</w:t>
      </w:r>
      <w:r>
        <w:rPr>
          <w:rFonts w:hint="eastAsia"/>
          <w:b/>
          <w:color w:val="FF0000"/>
        </w:rPr>
        <w:t>基本信息</w:t>
      </w:r>
      <w:r>
        <w:rPr>
          <w:b/>
          <w:color w:val="FF0000"/>
        </w:rPr>
        <w:t>中</w:t>
      </w:r>
      <w:r>
        <w:rPr>
          <w:rFonts w:hint="eastAsia"/>
          <w:b/>
          <w:color w:val="FF0000"/>
        </w:rPr>
        <w:t>“意向</w:t>
      </w:r>
      <w:r>
        <w:rPr>
          <w:b/>
          <w:color w:val="FF0000"/>
        </w:rPr>
        <w:t>受让</w:t>
      </w:r>
      <w:r>
        <w:rPr>
          <w:rFonts w:hint="eastAsia"/>
          <w:b/>
          <w:color w:val="FF0000"/>
        </w:rPr>
        <w:t>方</w:t>
      </w:r>
      <w:r>
        <w:rPr>
          <w:b/>
          <w:color w:val="FF0000"/>
        </w:rPr>
        <w:t>名称</w:t>
      </w:r>
      <w:r>
        <w:rPr>
          <w:rFonts w:hint="eastAsia"/>
          <w:b/>
          <w:color w:val="FF0000"/>
        </w:rPr>
        <w:t>”一致。</w:t>
      </w:r>
    </w:p>
    <w:p w14:paraId="05457111">
      <w:pPr>
        <w:rPr>
          <w:b/>
          <w:color w:val="FF0000"/>
        </w:rPr>
      </w:pPr>
      <w:r>
        <w:rPr>
          <w:b/>
          <w:color w:val="FF0000"/>
        </w:rPr>
        <w:t>2</w:t>
      </w:r>
      <w:r>
        <w:rPr>
          <w:rFonts w:hint="eastAsia"/>
          <w:b/>
          <w:color w:val="FF0000"/>
        </w:rPr>
        <w:t>、</w:t>
      </w:r>
      <w:r>
        <w:rPr>
          <w:b/>
          <w:color w:val="FF0000"/>
        </w:rPr>
        <w:t>银行转帐需一定的时间，</w:t>
      </w:r>
      <w:r>
        <w:rPr>
          <w:rFonts w:hint="eastAsia"/>
          <w:b/>
          <w:color w:val="FF0000"/>
        </w:rPr>
        <w:t>保证</w:t>
      </w:r>
      <w:r>
        <w:rPr>
          <w:b/>
          <w:color w:val="FF0000"/>
        </w:rPr>
        <w:t>金</w:t>
      </w:r>
      <w:r>
        <w:rPr>
          <w:rFonts w:hint="eastAsia"/>
          <w:b/>
          <w:color w:val="FF0000"/>
        </w:rPr>
        <w:t>缴纳后，</w:t>
      </w:r>
      <w:r>
        <w:rPr>
          <w:b/>
          <w:color w:val="FF0000"/>
        </w:rPr>
        <w:t>请视情况</w:t>
      </w:r>
      <w:r>
        <w:rPr>
          <w:rFonts w:hint="eastAsia"/>
          <w:b/>
          <w:color w:val="FF0000"/>
        </w:rPr>
        <w:t>3</w:t>
      </w:r>
      <w:r>
        <w:rPr>
          <w:b/>
          <w:color w:val="FF0000"/>
        </w:rPr>
        <w:t>0</w:t>
      </w:r>
      <w:r>
        <w:rPr>
          <w:rFonts w:hint="eastAsia"/>
          <w:b/>
          <w:color w:val="FF0000"/>
        </w:rPr>
        <w:t>分钟以</w:t>
      </w:r>
      <w:r>
        <w:rPr>
          <w:b/>
          <w:color w:val="FF0000"/>
        </w:rPr>
        <w:t>后再检测</w:t>
      </w:r>
      <w:r>
        <w:rPr>
          <w:rFonts w:hint="eastAsia"/>
          <w:b/>
          <w:color w:val="FF0000"/>
        </w:rPr>
        <w:t>竞价资格。</w:t>
      </w:r>
    </w:p>
    <w:p w14:paraId="540F43F5">
      <w:r>
        <w:drawing>
          <wp:inline distT="0" distB="0" distL="0" distR="0">
            <wp:extent cx="5274310" cy="2841625"/>
            <wp:effectExtent l="19050" t="0" r="2540" b="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noChangeArrowheads="1"/>
                    </pic:cNvPicPr>
                  </pic:nvPicPr>
                  <pic:blipFill>
                    <a:blip r:embed="rId26"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8AF0357"/>
    <w:p w14:paraId="1D200BAE">
      <w:r>
        <w:rPr>
          <w:rFonts w:hint="eastAsia"/>
        </w:rPr>
        <w:t>缴纳足额保证金后检测竞价资格系统会提示竞价时间段内可正常竞价</w:t>
      </w:r>
    </w:p>
    <w:p w14:paraId="716CDB57">
      <w:pPr>
        <w:spacing w:line="360" w:lineRule="auto"/>
      </w:pPr>
      <w:r>
        <w:rPr>
          <w:rFonts w:hint="eastAsia"/>
        </w:rPr>
        <w:drawing>
          <wp:inline distT="0" distB="0" distL="0" distR="0">
            <wp:extent cx="5274310" cy="1974215"/>
            <wp:effectExtent l="19050" t="0" r="2540" b="0"/>
            <wp:docPr id="7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1"/>
                    <pic:cNvPicPr>
                      <a:picLocks noChangeAspect="1" noChangeArrowheads="1"/>
                    </pic:cNvPicPr>
                  </pic:nvPicPr>
                  <pic:blipFill>
                    <a:blip r:embed="rId27" cstate="print"/>
                    <a:srcRect/>
                    <a:stretch>
                      <a:fillRect/>
                    </a:stretch>
                  </pic:blipFill>
                  <pic:spPr>
                    <a:xfrm>
                      <a:off x="0" y="0"/>
                      <a:ext cx="5274310" cy="1974485"/>
                    </a:xfrm>
                    <a:prstGeom prst="rect">
                      <a:avLst/>
                    </a:prstGeom>
                    <a:noFill/>
                    <a:ln w="9525">
                      <a:noFill/>
                      <a:miter lim="800000"/>
                      <a:headEnd/>
                      <a:tailEnd/>
                    </a:ln>
                  </pic:spPr>
                </pic:pic>
              </a:graphicData>
            </a:graphic>
          </wp:inline>
        </w:drawing>
      </w:r>
    </w:p>
    <w:p w14:paraId="78277D3B">
      <w:pPr>
        <w:spacing w:line="360" w:lineRule="auto"/>
        <w:ind w:firstLine="420" w:firstLineChars="200"/>
      </w:pPr>
    </w:p>
    <w:p w14:paraId="1DFC3E8A">
      <w:pPr>
        <w:pStyle w:val="3"/>
      </w:pPr>
      <w:bookmarkStart w:id="22" w:name="_Toc495329476"/>
      <w:r>
        <w:rPr>
          <w:rFonts w:hint="eastAsia"/>
        </w:rPr>
        <w:t>2.3标的竞价</w:t>
      </w:r>
      <w:bookmarkEnd w:id="22"/>
    </w:p>
    <w:p w14:paraId="70F80294">
      <w:pPr>
        <w:pStyle w:val="4"/>
        <w:numPr>
          <w:ilvl w:val="0"/>
          <w:numId w:val="0"/>
        </w:numPr>
        <w:ind w:left="851" w:hanging="709"/>
      </w:pPr>
      <w:bookmarkStart w:id="23" w:name="_Toc495329477"/>
      <w:r>
        <w:rPr>
          <w:rFonts w:hint="eastAsia"/>
        </w:rPr>
        <w:t>2.3.1标的竞价</w:t>
      </w:r>
      <w:bookmarkEnd w:id="23"/>
    </w:p>
    <w:p w14:paraId="7587EEC9">
      <w:pPr>
        <w:spacing w:line="360" w:lineRule="auto"/>
      </w:pPr>
      <w:r>
        <w:rPr>
          <w:rFonts w:hint="eastAsia"/>
        </w:rPr>
        <w:t>进入菜单：业务管理---标的竞价</w:t>
      </w:r>
    </w:p>
    <w:p w14:paraId="7AE07B25">
      <w:pPr>
        <w:spacing w:line="360" w:lineRule="auto"/>
      </w:pPr>
    </w:p>
    <w:p w14:paraId="10E12A76">
      <w:r>
        <w:rPr>
          <w:rFonts w:hint="eastAsia"/>
        </w:rPr>
        <w:t>说明：赤峰市公共资源交易中心产权交易采用电子竞价方式，竞价方法为延时竞价，在延时周期内若有人报价，则时间重新倒计时，直至无人报价时间倒计到0为止</w:t>
      </w:r>
    </w:p>
    <w:p w14:paraId="2926B9A0"/>
    <w:p w14:paraId="4DABF0E9">
      <w:r>
        <w:rPr>
          <w:rFonts w:hint="eastAsia"/>
        </w:rPr>
        <w:t>延时竞价规则：在设定的延时时间内各竞买人可自由报价，若有人报价则时间重置，直至无人报价时间倒计为0结束。</w:t>
      </w:r>
    </w:p>
    <w:p w14:paraId="584606EA"/>
    <w:p w14:paraId="11842AE8">
      <w:pPr>
        <w:rPr>
          <w:color w:val="FF0000"/>
        </w:rPr>
      </w:pPr>
      <w:r>
        <w:rPr>
          <w:rFonts w:hint="eastAsia"/>
          <w:color w:val="FF0000"/>
        </w:rPr>
        <w:t>“竞价状态”为延时竞价，点击下拉</w:t>
      </w:r>
      <w:r>
        <w:rPr>
          <w:color w:val="FF0000"/>
        </w:rPr>
        <w:t>框</w:t>
      </w:r>
      <w:r>
        <w:rPr>
          <w:rFonts w:hint="eastAsia"/>
          <w:color w:val="FF0000"/>
        </w:rPr>
        <w:t>操作按钮，</w:t>
      </w:r>
      <w:r>
        <w:rPr>
          <w:b/>
          <w:color w:val="FF0000"/>
        </w:rPr>
        <w:t>选择</w:t>
      </w:r>
      <w:r>
        <w:rPr>
          <w:rFonts w:hint="eastAsia"/>
          <w:b/>
          <w:color w:val="FF0000"/>
        </w:rPr>
        <w:t>“</w:t>
      </w:r>
      <w:r>
        <w:rPr>
          <w:b/>
          <w:color w:val="FF0000"/>
        </w:rPr>
        <w:t>全部</w:t>
      </w:r>
      <w:r>
        <w:rPr>
          <w:rFonts w:hint="eastAsia"/>
          <w:b/>
          <w:color w:val="FF0000"/>
        </w:rPr>
        <w:t>”，然后</w:t>
      </w:r>
      <w:r>
        <w:rPr>
          <w:b/>
          <w:color w:val="FF0000"/>
        </w:rPr>
        <w:t>选择所报名标的</w:t>
      </w:r>
      <w:r>
        <w:rPr>
          <w:rFonts w:hint="eastAsia"/>
          <w:b/>
          <w:color w:val="FF0000"/>
        </w:rPr>
        <w:t>。</w:t>
      </w:r>
    </w:p>
    <w:p w14:paraId="166ECF57">
      <w:pPr>
        <w:spacing w:line="360" w:lineRule="auto"/>
      </w:pPr>
      <w:r>
        <w:drawing>
          <wp:inline distT="0" distB="0" distL="0" distR="0">
            <wp:extent cx="5274310" cy="1970405"/>
            <wp:effectExtent l="19050" t="0" r="2540" b="0"/>
            <wp:docPr id="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pic:cNvPicPr>
                      <a:picLocks noChangeAspect="1" noChangeArrowheads="1"/>
                    </pic:cNvPicPr>
                  </pic:nvPicPr>
                  <pic:blipFill>
                    <a:blip r:embed="rId28" cstate="print"/>
                    <a:srcRect/>
                    <a:stretch>
                      <a:fillRect/>
                    </a:stretch>
                  </pic:blipFill>
                  <pic:spPr>
                    <a:xfrm>
                      <a:off x="0" y="0"/>
                      <a:ext cx="5274310" cy="1970621"/>
                    </a:xfrm>
                    <a:prstGeom prst="rect">
                      <a:avLst/>
                    </a:prstGeom>
                    <a:noFill/>
                    <a:ln w="9525">
                      <a:noFill/>
                      <a:miter lim="800000"/>
                      <a:headEnd/>
                      <a:tailEnd/>
                    </a:ln>
                  </pic:spPr>
                </pic:pic>
              </a:graphicData>
            </a:graphic>
          </wp:inline>
        </w:drawing>
      </w:r>
    </w:p>
    <w:p w14:paraId="3414F3E7">
      <w:pPr>
        <w:spacing w:line="360" w:lineRule="auto"/>
      </w:pPr>
    </w:p>
    <w:p w14:paraId="22DDC0B5">
      <w:pPr>
        <w:spacing w:line="360" w:lineRule="auto"/>
      </w:pPr>
      <w:r>
        <w:rPr>
          <w:rFonts w:hint="eastAsia"/>
        </w:rPr>
        <w:t>打开后可以看到正在竞价的项目和历史竞价项目</w:t>
      </w:r>
    </w:p>
    <w:p w14:paraId="3036A6CA">
      <w:pPr>
        <w:spacing w:line="360" w:lineRule="auto"/>
      </w:pPr>
      <w:r>
        <w:rPr>
          <w:rFonts w:hint="eastAsia"/>
        </w:rPr>
        <w:drawing>
          <wp:inline distT="0" distB="0" distL="0" distR="0">
            <wp:extent cx="5274310" cy="2841625"/>
            <wp:effectExtent l="19050" t="0" r="2540" b="0"/>
            <wp:docPr id="7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7"/>
                    <pic:cNvPicPr>
                      <a:picLocks noChangeAspect="1" noChangeArrowheads="1"/>
                    </pic:cNvPicPr>
                  </pic:nvPicPr>
                  <pic:blipFill>
                    <a:blip r:embed="rId29"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BA94E5A">
      <w:pPr>
        <w:spacing w:line="360" w:lineRule="auto"/>
      </w:pPr>
    </w:p>
    <w:p w14:paraId="692FAAA9">
      <w:pPr>
        <w:spacing w:line="360" w:lineRule="auto"/>
      </w:pPr>
      <w:r>
        <w:rPr>
          <w:rFonts w:hint="eastAsia"/>
        </w:rPr>
        <w:t>选择正在竞价的项目进入竞价页面</w:t>
      </w:r>
      <w:r>
        <w:t>，如下图：</w:t>
      </w:r>
    </w:p>
    <w:p w14:paraId="64B2F8AC">
      <w:pPr>
        <w:spacing w:line="360" w:lineRule="auto"/>
      </w:pPr>
      <w:r>
        <w:drawing>
          <wp:inline distT="0" distB="0" distL="0" distR="0">
            <wp:extent cx="5274310" cy="2841625"/>
            <wp:effectExtent l="19050" t="0" r="2540" b="0"/>
            <wp:docPr id="7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0"/>
                    <pic:cNvPicPr>
                      <a:picLocks noChangeAspect="1" noChangeArrowheads="1"/>
                    </pic:cNvPicPr>
                  </pic:nvPicPr>
                  <pic:blipFill>
                    <a:blip r:embed="rId3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0FAD22D">
      <w:pPr>
        <w:spacing w:line="360" w:lineRule="auto"/>
      </w:pPr>
    </w:p>
    <w:p w14:paraId="715DCD34">
      <w:pPr>
        <w:spacing w:line="360" w:lineRule="auto"/>
      </w:pPr>
      <w:r>
        <w:rPr>
          <w:rFonts w:hint="eastAsia"/>
        </w:rPr>
        <w:t>该报价页面可以查看竞价开始时间，起始价，延时竞价周期，增长幅度，当前最高报价、距离延时报结束时间以及历史报价记录等信息。</w:t>
      </w:r>
    </w:p>
    <w:p w14:paraId="36964152">
      <w:pPr>
        <w:spacing w:line="360" w:lineRule="auto"/>
      </w:pPr>
      <w:r>
        <w:rPr>
          <w:rFonts w:hint="eastAsia"/>
        </w:rPr>
        <w:t>报价方法：</w:t>
      </w:r>
    </w:p>
    <w:p w14:paraId="3D54C353">
      <w:pPr>
        <w:pStyle w:val="22"/>
        <w:numPr>
          <w:ilvl w:val="0"/>
          <w:numId w:val="2"/>
        </w:numPr>
        <w:spacing w:line="360" w:lineRule="auto"/>
        <w:ind w:firstLineChars="0"/>
      </w:pPr>
      <w:r>
        <w:rPr>
          <w:rFonts w:hint="eastAsia"/>
        </w:rPr>
        <w:t>选择竞价增长幅度倍数，然后点击“发送报价”按钮，弹出报价提示框，确认无误后点击“确定”，即完成一次报价，如下图：</w:t>
      </w:r>
    </w:p>
    <w:p w14:paraId="77D62D80">
      <w:pPr>
        <w:spacing w:line="360" w:lineRule="auto"/>
      </w:pPr>
      <w:r>
        <w:drawing>
          <wp:inline distT="0" distB="0" distL="0" distR="0">
            <wp:extent cx="5274310" cy="2841625"/>
            <wp:effectExtent l="19050" t="0" r="2540" b="0"/>
            <wp:docPr id="7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6"/>
                    <pic:cNvPicPr>
                      <a:picLocks noChangeAspect="1" noChangeArrowheads="1"/>
                    </pic:cNvPicPr>
                  </pic:nvPicPr>
                  <pic:blipFill>
                    <a:blip r:embed="rId31"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E9C8C58">
      <w:pPr>
        <w:spacing w:line="360" w:lineRule="auto"/>
      </w:pPr>
      <w:r>
        <w:drawing>
          <wp:inline distT="0" distB="0" distL="0" distR="0">
            <wp:extent cx="5274310" cy="2841625"/>
            <wp:effectExtent l="19050" t="0" r="2540" b="0"/>
            <wp:docPr id="8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pic:cNvPicPr>
                      <a:picLocks noChangeAspect="1" noChangeArrowheads="1"/>
                    </pic:cNvPicPr>
                  </pic:nvPicPr>
                  <pic:blipFill>
                    <a:blip r:embed="rId3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6C10E1F">
      <w:pPr>
        <w:pStyle w:val="4"/>
        <w:numPr>
          <w:ilvl w:val="0"/>
          <w:numId w:val="0"/>
        </w:numPr>
        <w:ind w:left="851" w:hanging="709"/>
      </w:pPr>
      <w:bookmarkStart w:id="24" w:name="_Toc495329478"/>
      <w:r>
        <w:rPr>
          <w:rFonts w:hint="eastAsia"/>
        </w:rPr>
        <w:t>2.3.2当前最高报价</w:t>
      </w:r>
      <w:bookmarkEnd w:id="24"/>
    </w:p>
    <w:p w14:paraId="3747825F">
      <w:r>
        <w:rPr>
          <w:rFonts w:hint="eastAsia"/>
        </w:rPr>
        <w:t>1、当自己的竞价人编号与系统当前最高竞价人编号不一致时，此时自己不是当前最高报价人，是否需要再次报价请根据实际情况自行决定：</w:t>
      </w:r>
    </w:p>
    <w:p w14:paraId="4D613873">
      <w:r>
        <w:drawing>
          <wp:inline distT="0" distB="0" distL="0" distR="0">
            <wp:extent cx="5274310" cy="2841625"/>
            <wp:effectExtent l="19050" t="0" r="2540" b="0"/>
            <wp:docPr id="7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3"/>
                    <pic:cNvPicPr>
                      <a:picLocks noChangeAspect="1" noChangeArrowheads="1"/>
                    </pic:cNvPicPr>
                  </pic:nvPicPr>
                  <pic:blipFill>
                    <a:blip r:embed="rId3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25BF67A0"/>
    <w:p w14:paraId="3AF7226B">
      <w:r>
        <w:rPr>
          <w:rFonts w:hint="eastAsia"/>
        </w:rPr>
        <w:t>2、当页面所示“当前最高报价”与“我的报价”不一致时，此时自己不是当前最高报价人，是否需要再次报价请根据实际情况自行决定：</w:t>
      </w:r>
    </w:p>
    <w:p w14:paraId="35F02CAD">
      <w:r>
        <w:drawing>
          <wp:inline distT="0" distB="0" distL="0" distR="0">
            <wp:extent cx="5274310" cy="2841625"/>
            <wp:effectExtent l="1905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3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9EEBF77"/>
    <w:p w14:paraId="3734112C">
      <w:pPr>
        <w:rPr>
          <w:b/>
          <w:color w:val="FF0000"/>
          <w:sz w:val="28"/>
          <w:szCs w:val="28"/>
        </w:rPr>
      </w:pPr>
      <w:r>
        <w:rPr>
          <w:rFonts w:hint="eastAsia"/>
          <w:b/>
          <w:color w:val="FF0000"/>
          <w:sz w:val="28"/>
          <w:szCs w:val="28"/>
        </w:rPr>
        <w:t>注意：“发送报价”按钮会判断您是否为当前最高报价人，可继续报价。</w:t>
      </w:r>
    </w:p>
    <w:p w14:paraId="63838FC3">
      <w:pPr>
        <w:rPr>
          <w:b/>
          <w:color w:val="FF0000"/>
          <w:sz w:val="28"/>
          <w:szCs w:val="28"/>
        </w:rPr>
      </w:pPr>
      <w:r>
        <w:rPr>
          <w:b/>
          <w:color w:val="FF0000"/>
          <w:sz w:val="28"/>
          <w:szCs w:val="28"/>
        </w:rPr>
        <w:drawing>
          <wp:inline distT="0" distB="0" distL="0" distR="0">
            <wp:extent cx="5274310" cy="2841625"/>
            <wp:effectExtent l="1905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3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92F1052">
      <w:pPr>
        <w:pStyle w:val="3"/>
      </w:pPr>
      <w:bookmarkStart w:id="25" w:name="_Toc495329479"/>
      <w:r>
        <w:rPr>
          <w:rFonts w:hint="eastAsia"/>
        </w:rPr>
        <w:t>2.4报价历史</w:t>
      </w:r>
      <w:bookmarkEnd w:id="25"/>
    </w:p>
    <w:p w14:paraId="2D91E385">
      <w:pPr>
        <w:pStyle w:val="4"/>
        <w:numPr>
          <w:ilvl w:val="0"/>
          <w:numId w:val="0"/>
        </w:numPr>
        <w:ind w:left="851" w:hanging="709"/>
      </w:pPr>
      <w:bookmarkStart w:id="26" w:name="_Toc495329480"/>
      <w:r>
        <w:rPr>
          <w:rFonts w:hint="eastAsia"/>
        </w:rPr>
        <w:t>2.4.1报价历史</w:t>
      </w:r>
      <w:bookmarkEnd w:id="26"/>
    </w:p>
    <w:p w14:paraId="50D234F7">
      <w:pPr>
        <w:spacing w:line="360" w:lineRule="auto"/>
      </w:pPr>
      <w:r>
        <w:rPr>
          <w:rFonts w:hint="eastAsia"/>
        </w:rPr>
        <w:t>进入菜单：业务管理---报价历史</w:t>
      </w:r>
    </w:p>
    <w:p w14:paraId="2B46C4CB">
      <w:pPr>
        <w:spacing w:line="360" w:lineRule="auto"/>
      </w:pPr>
      <w:r>
        <w:rPr>
          <w:rFonts w:hint="eastAsia"/>
        </w:rPr>
        <w:t>如下图：</w:t>
      </w:r>
    </w:p>
    <w:p w14:paraId="54F86A26">
      <w:pPr>
        <w:spacing w:line="360" w:lineRule="auto"/>
      </w:pPr>
      <w:r>
        <w:drawing>
          <wp:inline distT="0" distB="0" distL="0" distR="0">
            <wp:extent cx="5274310" cy="1978025"/>
            <wp:effectExtent l="19050" t="0" r="2540" b="0"/>
            <wp:docPr id="7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5"/>
                    <pic:cNvPicPr>
                      <a:picLocks noChangeAspect="1" noChangeArrowheads="1"/>
                    </pic:cNvPicPr>
                  </pic:nvPicPr>
                  <pic:blipFill>
                    <a:blip r:embed="rId36" cstate="print"/>
                    <a:srcRect/>
                    <a:stretch>
                      <a:fillRect/>
                    </a:stretch>
                  </pic:blipFill>
                  <pic:spPr>
                    <a:xfrm>
                      <a:off x="0" y="0"/>
                      <a:ext cx="5274310" cy="1978349"/>
                    </a:xfrm>
                    <a:prstGeom prst="rect">
                      <a:avLst/>
                    </a:prstGeom>
                    <a:noFill/>
                    <a:ln w="9525">
                      <a:noFill/>
                      <a:miter lim="800000"/>
                      <a:headEnd/>
                      <a:tailEnd/>
                    </a:ln>
                  </pic:spPr>
                </pic:pic>
              </a:graphicData>
            </a:graphic>
          </wp:inline>
        </w:drawing>
      </w:r>
    </w:p>
    <w:p w14:paraId="590D1BCE">
      <w:pPr>
        <w:spacing w:line="360" w:lineRule="auto"/>
      </w:pPr>
      <w:r>
        <w:t>点击</w:t>
      </w:r>
      <w:r>
        <w:drawing>
          <wp:inline distT="0" distB="0" distL="0" distR="0">
            <wp:extent cx="389890" cy="2946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37" cstate="print"/>
                    <a:stretch>
                      <a:fillRect/>
                    </a:stretch>
                  </pic:blipFill>
                  <pic:spPr>
                    <a:xfrm>
                      <a:off x="0" y="0"/>
                      <a:ext cx="390476" cy="295238"/>
                    </a:xfrm>
                    <a:prstGeom prst="rect">
                      <a:avLst/>
                    </a:prstGeom>
                  </pic:spPr>
                </pic:pic>
              </a:graphicData>
            </a:graphic>
          </wp:inline>
        </w:drawing>
      </w:r>
      <w:r>
        <w:t>按钮，可进入地块查看自己的历史报价，如下图：</w:t>
      </w:r>
    </w:p>
    <w:p w14:paraId="66F08C2B">
      <w:pPr>
        <w:spacing w:line="360" w:lineRule="auto"/>
      </w:pPr>
      <w:r>
        <w:drawing>
          <wp:inline distT="0" distB="0" distL="0" distR="0">
            <wp:extent cx="5274310" cy="2841625"/>
            <wp:effectExtent l="19050" t="0" r="2540" b="0"/>
            <wp:docPr id="7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8"/>
                    <pic:cNvPicPr>
                      <a:picLocks noChangeAspect="1" noChangeArrowheads="1"/>
                    </pic:cNvPicPr>
                  </pic:nvPicPr>
                  <pic:blipFill>
                    <a:blip r:embed="rId3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53E41C3"/>
    <w:p w14:paraId="306D9E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425"/>
        </w:tabs>
        <w:ind w:left="425" w:hanging="425"/>
      </w:pPr>
    </w:lvl>
    <w:lvl w:ilvl="1" w:tentative="0">
      <w:start w:val="1"/>
      <w:numFmt w:val="decimal"/>
      <w:lvlText w:val="%1.%2."/>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2" w:tentative="0">
      <w:start w:val="1"/>
      <w:numFmt w:val="decimal"/>
      <w:pStyle w:val="4"/>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3" w:tentative="0">
      <w:start w:val="1"/>
      <w:numFmt w:val="decimal"/>
      <w:lvlText w:val="%1.%2.%3.%4."/>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
    <w:nsid w:val="382C3529"/>
    <w:multiLevelType w:val="multilevel"/>
    <w:tmpl w:val="382C352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C2"/>
    <w:rsid w:val="0001147A"/>
    <w:rsid w:val="00034601"/>
    <w:rsid w:val="0003775B"/>
    <w:rsid w:val="00043FC3"/>
    <w:rsid w:val="00045D90"/>
    <w:rsid w:val="00094D48"/>
    <w:rsid w:val="000A2497"/>
    <w:rsid w:val="000D1607"/>
    <w:rsid w:val="000E677D"/>
    <w:rsid w:val="00116A23"/>
    <w:rsid w:val="0012090C"/>
    <w:rsid w:val="00135296"/>
    <w:rsid w:val="001403C2"/>
    <w:rsid w:val="0014557C"/>
    <w:rsid w:val="00157618"/>
    <w:rsid w:val="00162383"/>
    <w:rsid w:val="001654D3"/>
    <w:rsid w:val="00181947"/>
    <w:rsid w:val="001848BF"/>
    <w:rsid w:val="001D5E3C"/>
    <w:rsid w:val="001E0228"/>
    <w:rsid w:val="001F5DC6"/>
    <w:rsid w:val="00203C50"/>
    <w:rsid w:val="00221620"/>
    <w:rsid w:val="00231B79"/>
    <w:rsid w:val="002454E7"/>
    <w:rsid w:val="00247B01"/>
    <w:rsid w:val="00252619"/>
    <w:rsid w:val="00282C73"/>
    <w:rsid w:val="00285DCA"/>
    <w:rsid w:val="00295484"/>
    <w:rsid w:val="002B5708"/>
    <w:rsid w:val="002E0643"/>
    <w:rsid w:val="002E25B4"/>
    <w:rsid w:val="002F3BF7"/>
    <w:rsid w:val="003014E7"/>
    <w:rsid w:val="0031350D"/>
    <w:rsid w:val="00316DFB"/>
    <w:rsid w:val="00324A11"/>
    <w:rsid w:val="0035423F"/>
    <w:rsid w:val="00382A78"/>
    <w:rsid w:val="003B4466"/>
    <w:rsid w:val="003E31F4"/>
    <w:rsid w:val="003F1E44"/>
    <w:rsid w:val="004102FD"/>
    <w:rsid w:val="00412F11"/>
    <w:rsid w:val="004578A5"/>
    <w:rsid w:val="0046480B"/>
    <w:rsid w:val="004B7C6E"/>
    <w:rsid w:val="004B7F10"/>
    <w:rsid w:val="004C6CED"/>
    <w:rsid w:val="005064D7"/>
    <w:rsid w:val="00527322"/>
    <w:rsid w:val="00537B9A"/>
    <w:rsid w:val="00544A06"/>
    <w:rsid w:val="00562E32"/>
    <w:rsid w:val="00567B4A"/>
    <w:rsid w:val="00580064"/>
    <w:rsid w:val="00583352"/>
    <w:rsid w:val="005C0A57"/>
    <w:rsid w:val="005C62AA"/>
    <w:rsid w:val="005E37C9"/>
    <w:rsid w:val="005F271A"/>
    <w:rsid w:val="006314DB"/>
    <w:rsid w:val="006419CD"/>
    <w:rsid w:val="0065002A"/>
    <w:rsid w:val="006757AC"/>
    <w:rsid w:val="00680508"/>
    <w:rsid w:val="006C29BB"/>
    <w:rsid w:val="006D1BD9"/>
    <w:rsid w:val="006E552B"/>
    <w:rsid w:val="006F53E0"/>
    <w:rsid w:val="006F73F2"/>
    <w:rsid w:val="00703F95"/>
    <w:rsid w:val="00710AE1"/>
    <w:rsid w:val="007174EC"/>
    <w:rsid w:val="007242E2"/>
    <w:rsid w:val="00730B56"/>
    <w:rsid w:val="007618D1"/>
    <w:rsid w:val="0076247A"/>
    <w:rsid w:val="00796A73"/>
    <w:rsid w:val="007A5506"/>
    <w:rsid w:val="007C60B1"/>
    <w:rsid w:val="007D0863"/>
    <w:rsid w:val="007F1824"/>
    <w:rsid w:val="007F375A"/>
    <w:rsid w:val="00822355"/>
    <w:rsid w:val="00822407"/>
    <w:rsid w:val="00845F8E"/>
    <w:rsid w:val="00854C9E"/>
    <w:rsid w:val="008A48CA"/>
    <w:rsid w:val="008B217C"/>
    <w:rsid w:val="008B384B"/>
    <w:rsid w:val="008E2347"/>
    <w:rsid w:val="008F4DCD"/>
    <w:rsid w:val="00910931"/>
    <w:rsid w:val="00965AC1"/>
    <w:rsid w:val="00981D31"/>
    <w:rsid w:val="00985550"/>
    <w:rsid w:val="009A0B92"/>
    <w:rsid w:val="009B1D80"/>
    <w:rsid w:val="009B34AF"/>
    <w:rsid w:val="009B42F7"/>
    <w:rsid w:val="009C709D"/>
    <w:rsid w:val="009D094C"/>
    <w:rsid w:val="009F0246"/>
    <w:rsid w:val="00A02E3E"/>
    <w:rsid w:val="00A04BFE"/>
    <w:rsid w:val="00A05FCD"/>
    <w:rsid w:val="00A1708A"/>
    <w:rsid w:val="00A26E6B"/>
    <w:rsid w:val="00A33A60"/>
    <w:rsid w:val="00A374FC"/>
    <w:rsid w:val="00A42561"/>
    <w:rsid w:val="00A46AB2"/>
    <w:rsid w:val="00A747F9"/>
    <w:rsid w:val="00AB25E0"/>
    <w:rsid w:val="00AC2BD7"/>
    <w:rsid w:val="00AC7BD8"/>
    <w:rsid w:val="00AE4B1C"/>
    <w:rsid w:val="00AE5996"/>
    <w:rsid w:val="00B0169E"/>
    <w:rsid w:val="00B33167"/>
    <w:rsid w:val="00B52492"/>
    <w:rsid w:val="00BB54D6"/>
    <w:rsid w:val="00BE0DFC"/>
    <w:rsid w:val="00C00795"/>
    <w:rsid w:val="00C151C8"/>
    <w:rsid w:val="00C25F23"/>
    <w:rsid w:val="00C35CC3"/>
    <w:rsid w:val="00C414EF"/>
    <w:rsid w:val="00C45911"/>
    <w:rsid w:val="00C625C7"/>
    <w:rsid w:val="00C63E1A"/>
    <w:rsid w:val="00C66667"/>
    <w:rsid w:val="00CC5550"/>
    <w:rsid w:val="00CE0E58"/>
    <w:rsid w:val="00D02C88"/>
    <w:rsid w:val="00D20DF0"/>
    <w:rsid w:val="00D322F1"/>
    <w:rsid w:val="00D32AA3"/>
    <w:rsid w:val="00D5556D"/>
    <w:rsid w:val="00D65201"/>
    <w:rsid w:val="00D811DD"/>
    <w:rsid w:val="00D91BDE"/>
    <w:rsid w:val="00DB0F94"/>
    <w:rsid w:val="00DC3158"/>
    <w:rsid w:val="00DD4A3D"/>
    <w:rsid w:val="00E1429A"/>
    <w:rsid w:val="00E2724F"/>
    <w:rsid w:val="00E53803"/>
    <w:rsid w:val="00E66363"/>
    <w:rsid w:val="00E74E30"/>
    <w:rsid w:val="00E8322C"/>
    <w:rsid w:val="00E8464B"/>
    <w:rsid w:val="00EA7CAC"/>
    <w:rsid w:val="00EB5922"/>
    <w:rsid w:val="00EB620A"/>
    <w:rsid w:val="00EF2A7C"/>
    <w:rsid w:val="00F02CD0"/>
    <w:rsid w:val="00F07175"/>
    <w:rsid w:val="00F22390"/>
    <w:rsid w:val="00F4243C"/>
    <w:rsid w:val="00F847F1"/>
    <w:rsid w:val="00F8530A"/>
    <w:rsid w:val="00F853B9"/>
    <w:rsid w:val="00FA0F1D"/>
    <w:rsid w:val="00FA634D"/>
    <w:rsid w:val="00FA7230"/>
    <w:rsid w:val="00FB287A"/>
    <w:rsid w:val="00FD1737"/>
    <w:rsid w:val="00FF0254"/>
    <w:rsid w:val="00FF2269"/>
    <w:rsid w:val="06B112E1"/>
    <w:rsid w:val="0A711785"/>
    <w:rsid w:val="2CC52D9D"/>
    <w:rsid w:val="43C92383"/>
    <w:rsid w:val="4A44130F"/>
    <w:rsid w:val="53EC3146"/>
    <w:rsid w:val="55D32DE1"/>
    <w:rsid w:val="56875280"/>
    <w:rsid w:val="580707E5"/>
    <w:rsid w:val="685F7EAD"/>
    <w:rsid w:val="750268F1"/>
    <w:rsid w:val="7C534616"/>
    <w:rsid w:val="7D3459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tabs>
        <w:tab w:val="left" w:pos="425"/>
      </w:tabs>
      <w:spacing w:before="340" w:after="330" w:line="360" w:lineRule="auto"/>
      <w:ind w:left="425" w:hanging="425"/>
      <w:outlineLvl w:val="0"/>
    </w:pPr>
    <w:rPr>
      <w:rFonts w:ascii="Arial" w:hAnsi="Arial"/>
      <w:b/>
      <w:bCs/>
      <w:kern w:val="44"/>
      <w:sz w:val="32"/>
      <w:szCs w:val="28"/>
    </w:rPr>
  </w:style>
  <w:style w:type="paragraph" w:styleId="3">
    <w:name w:val="heading 2"/>
    <w:basedOn w:val="1"/>
    <w:next w:val="1"/>
    <w:link w:val="19"/>
    <w:qFormat/>
    <w:uiPriority w:val="0"/>
    <w:pPr>
      <w:keepNext/>
      <w:keepLines/>
      <w:tabs>
        <w:tab w:val="left" w:pos="567"/>
      </w:tabs>
      <w:spacing w:before="260" w:after="260" w:line="360" w:lineRule="auto"/>
      <w:ind w:left="567" w:hanging="567"/>
      <w:outlineLvl w:val="1"/>
    </w:pPr>
    <w:rPr>
      <w:rFonts w:ascii="Arial" w:hAnsi="Arial"/>
      <w:b/>
      <w:bCs/>
      <w:sz w:val="30"/>
      <w:szCs w:val="32"/>
    </w:rPr>
  </w:style>
  <w:style w:type="paragraph" w:styleId="4">
    <w:name w:val="heading 3"/>
    <w:basedOn w:val="1"/>
    <w:next w:val="1"/>
    <w:link w:val="20"/>
    <w:qFormat/>
    <w:uiPriority w:val="0"/>
    <w:pPr>
      <w:keepNext/>
      <w:keepLines/>
      <w:numPr>
        <w:ilvl w:val="2"/>
        <w:numId w:val="1"/>
      </w:numPr>
      <w:spacing w:before="260" w:after="260" w:line="360" w:lineRule="auto"/>
      <w:outlineLvl w:val="2"/>
    </w:pPr>
    <w:rPr>
      <w:rFonts w:ascii="Arial" w:hAnsi="Arial"/>
      <w:b/>
      <w:bCs/>
      <w:sz w:val="28"/>
      <w:szCs w:val="1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5"/>
    <w:semiHidden/>
    <w:unhideWhenUsed/>
    <w:qFormat/>
    <w:uiPriority w:val="99"/>
    <w:rPr>
      <w:rFonts w:ascii="宋体"/>
      <w:sz w:val="18"/>
      <w:szCs w:val="18"/>
    </w:rPr>
  </w:style>
  <w:style w:type="paragraph" w:styleId="6">
    <w:name w:val="toc 3"/>
    <w:basedOn w:val="1"/>
    <w:next w:val="1"/>
    <w:unhideWhenUsed/>
    <w:qFormat/>
    <w:uiPriority w:val="39"/>
    <w:pPr>
      <w:ind w:left="840" w:leftChars="400"/>
    </w:pPr>
  </w:style>
  <w:style w:type="paragraph" w:styleId="7">
    <w:name w:val="Balloon Text"/>
    <w:basedOn w:val="1"/>
    <w:link w:val="21"/>
    <w:unhideWhenUsed/>
    <w:qFormat/>
    <w:uiPriority w:val="99"/>
    <w:rPr>
      <w:sz w:val="18"/>
      <w:szCs w:val="18"/>
    </w:r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index 1"/>
    <w:basedOn w:val="1"/>
    <w:next w:val="1"/>
    <w:qFormat/>
    <w:uiPriority w:val="0"/>
    <w:pPr>
      <w:jc w:val="center"/>
    </w:pPr>
    <w:rPr>
      <w:b/>
      <w:sz w:val="48"/>
      <w:szCs w:val="48"/>
    </w:rPr>
  </w:style>
  <w:style w:type="character" w:styleId="15">
    <w:name w:val="FollowedHyperlink"/>
    <w:basedOn w:val="14"/>
    <w:semiHidden/>
    <w:unhideWhenUsed/>
    <w:qFormat/>
    <w:uiPriority w:val="99"/>
    <w:rPr>
      <w:color w:val="800080"/>
      <w:u w:val="single"/>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paragraph" w:customStyle="1" w:styleId="17">
    <w:name w:val="Subject"/>
    <w:basedOn w:val="1"/>
    <w:qFormat/>
    <w:uiPriority w:val="0"/>
    <w:pPr>
      <w:spacing w:beforeLines="800"/>
      <w:jc w:val="center"/>
    </w:pPr>
    <w:rPr>
      <w:rFonts w:eastAsia="黑体"/>
      <w:b/>
      <w:sz w:val="48"/>
    </w:rPr>
  </w:style>
  <w:style w:type="character" w:customStyle="1" w:styleId="18">
    <w:name w:val="标题 1 字符"/>
    <w:basedOn w:val="14"/>
    <w:link w:val="2"/>
    <w:qFormat/>
    <w:uiPriority w:val="0"/>
    <w:rPr>
      <w:rFonts w:ascii="Arial" w:hAnsi="Arial" w:eastAsia="宋体" w:cs="Times New Roman"/>
      <w:b/>
      <w:bCs/>
      <w:kern w:val="44"/>
      <w:sz w:val="32"/>
      <w:szCs w:val="28"/>
    </w:rPr>
  </w:style>
  <w:style w:type="character" w:customStyle="1" w:styleId="19">
    <w:name w:val="标题 2 字符"/>
    <w:basedOn w:val="14"/>
    <w:link w:val="3"/>
    <w:qFormat/>
    <w:uiPriority w:val="0"/>
    <w:rPr>
      <w:rFonts w:ascii="Arial" w:hAnsi="Arial" w:eastAsia="宋体" w:cs="Times New Roman"/>
      <w:b/>
      <w:bCs/>
      <w:sz w:val="30"/>
      <w:szCs w:val="32"/>
    </w:rPr>
  </w:style>
  <w:style w:type="character" w:customStyle="1" w:styleId="20">
    <w:name w:val="标题 3 字符"/>
    <w:basedOn w:val="14"/>
    <w:link w:val="4"/>
    <w:qFormat/>
    <w:uiPriority w:val="0"/>
    <w:rPr>
      <w:rFonts w:ascii="Arial" w:hAnsi="Arial" w:eastAsia="宋体" w:cs="Times New Roman"/>
      <w:b/>
      <w:bCs/>
      <w:sz w:val="28"/>
      <w:szCs w:val="18"/>
    </w:rPr>
  </w:style>
  <w:style w:type="character" w:customStyle="1" w:styleId="21">
    <w:name w:val="批注框文本 字符"/>
    <w:basedOn w:val="14"/>
    <w:link w:val="7"/>
    <w:semiHidden/>
    <w:qFormat/>
    <w:uiPriority w:val="99"/>
    <w:rPr>
      <w:rFonts w:ascii="Times New Roman" w:hAnsi="Times New Roman" w:eastAsia="宋体" w:cs="Times New Roman"/>
      <w:sz w:val="18"/>
      <w:szCs w:val="18"/>
    </w:rPr>
  </w:style>
  <w:style w:type="paragraph" w:styleId="22">
    <w:name w:val="List Paragraph"/>
    <w:basedOn w:val="1"/>
    <w:qFormat/>
    <w:uiPriority w:val="34"/>
    <w:pPr>
      <w:ind w:firstLine="420" w:firstLineChars="200"/>
    </w:pPr>
  </w:style>
  <w:style w:type="character" w:customStyle="1" w:styleId="23">
    <w:name w:val="页眉 字符"/>
    <w:basedOn w:val="14"/>
    <w:link w:val="9"/>
    <w:qFormat/>
    <w:uiPriority w:val="99"/>
    <w:rPr>
      <w:rFonts w:ascii="Times New Roman" w:hAnsi="Times New Roman" w:eastAsia="宋体" w:cs="Times New Roman"/>
      <w:sz w:val="18"/>
      <w:szCs w:val="18"/>
    </w:rPr>
  </w:style>
  <w:style w:type="character" w:customStyle="1" w:styleId="24">
    <w:name w:val="页脚 字符"/>
    <w:basedOn w:val="14"/>
    <w:link w:val="8"/>
    <w:qFormat/>
    <w:uiPriority w:val="99"/>
    <w:rPr>
      <w:rFonts w:ascii="Times New Roman" w:hAnsi="Times New Roman" w:eastAsia="宋体" w:cs="Times New Roman"/>
      <w:sz w:val="18"/>
      <w:szCs w:val="18"/>
    </w:rPr>
  </w:style>
  <w:style w:type="character" w:customStyle="1" w:styleId="25">
    <w:name w:val="文档结构图 字符"/>
    <w:basedOn w:val="14"/>
    <w:link w:val="5"/>
    <w:semiHidden/>
    <w:qFormat/>
    <w:uiPriority w:val="99"/>
    <w:rPr>
      <w:rFonts w:ascii="宋体" w:hAnsi="Times New Roman" w:eastAsia="宋体" w:cs="Times New Roman"/>
      <w:kern w:val="2"/>
      <w:sz w:val="18"/>
      <w:szCs w:val="18"/>
    </w:rPr>
  </w:style>
  <w:style w:type="character" w:customStyle="1" w:styleId="26">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image" Target="media/image1.png"/><Relationship Id="rId39" Type="http://schemas.openxmlformats.org/officeDocument/2006/relationships/customXml" Target="../customXml/item1.xml"/><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595F97-FDA3-428C-89A4-727CD7DD9C8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Pages>
  <Words>2445</Words>
  <Characters>3011</Characters>
  <Lines>148</Lines>
  <Paragraphs>119</Paragraphs>
  <TotalTime>1</TotalTime>
  <ScaleCrop>false</ScaleCrop>
  <LinksUpToDate>false</LinksUpToDate>
  <CharactersWithSpaces>3050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2025-06-16T09:09:00Z</dcterms:created>
  <dc:creator>NTKO</dc:creator>
  <cp:lastModifiedBy>BXG</cp:lastModifiedBy>
  <dcterms:modified xsi:type="dcterms:W3CDTF">2025-10-16T08:34:44Z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eyJoZGlkIjoiMWM5ZGZjZDI4ZTg4NDMxMDBlZGUyNDM2ZmQ2MTIwMTEiLCJ1c2VySWQiOiIxNTM5ODY1MTgxIn0=</vt:lpwstr>
  </property>
  <property fmtid="{D5CDD505-2E9C-101B-9397-08002B2CF9AE}" pid="4" name="ICV">
    <vt:lpwstr>C12449A254DB4F47B705AD3577500DE3_12</vt:lpwstr>
  </property>
</Properties>
</file>