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270F3E4">
      <w:pPr>
        <w:spacing w:after="0" w:line="560" w:lineRule="exact"/>
        <w:jc w:val="center"/>
        <w:rPr>
          <w:rFonts w:hint="eastAsia" w:ascii="仿宋" w:hAnsi="仿宋" w:eastAsia="仿宋"/>
          <w:b/>
          <w:bCs/>
          <w:sz w:val="44"/>
          <w:szCs w:val="44"/>
        </w:rPr>
      </w:pPr>
      <w:r>
        <w:rPr>
          <w:rFonts w:hint="eastAsia" w:ascii="仿宋" w:hAnsi="仿宋" w:eastAsia="仿宋"/>
          <w:b/>
          <w:bCs/>
          <w:sz w:val="44"/>
          <w:szCs w:val="44"/>
        </w:rPr>
        <w:t>合  同</w:t>
      </w:r>
    </w:p>
    <w:p w14:paraId="5424BB10">
      <w:pPr>
        <w:spacing w:after="0" w:line="560" w:lineRule="exact"/>
        <w:jc w:val="both"/>
        <w:rPr>
          <w:rFonts w:hint="eastAsia" w:ascii="仿宋_GB2312" w:eastAsia="仿宋_GB2312"/>
          <w:sz w:val="28"/>
          <w:szCs w:val="28"/>
        </w:rPr>
      </w:pPr>
    </w:p>
    <w:p w14:paraId="42A3593A">
      <w:pPr>
        <w:spacing w:after="0" w:line="560" w:lineRule="exact"/>
        <w:jc w:val="both"/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甲方：内蒙古银资国有资产运营（集团）有限公司</w:t>
      </w:r>
    </w:p>
    <w:p w14:paraId="0CC66B1A">
      <w:pPr>
        <w:spacing w:after="0" w:line="560" w:lineRule="exact"/>
        <w:jc w:val="both"/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乙方：</w:t>
      </w:r>
    </w:p>
    <w:p w14:paraId="606DCB0A">
      <w:pPr>
        <w:spacing w:after="0" w:line="560" w:lineRule="exact"/>
        <w:jc w:val="both"/>
        <w:rPr>
          <w:rFonts w:hint="default" w:ascii="仿宋_GB2312" w:eastAsia="仿宋_GB2312"/>
          <w:sz w:val="28"/>
          <w:szCs w:val="28"/>
          <w:lang w:val="en-US" w:eastAsia="zh-CN"/>
        </w:rPr>
      </w:pPr>
      <w:r>
        <w:rPr>
          <w:rFonts w:hint="eastAsia" w:ascii="仿宋_GB2312" w:eastAsia="仿宋_GB2312"/>
          <w:sz w:val="28"/>
          <w:szCs w:val="28"/>
          <w:lang w:val="en-US" w:eastAsia="zh-CN"/>
        </w:rPr>
        <w:t>身份证：</w:t>
      </w:r>
    </w:p>
    <w:p w14:paraId="7EE79B83">
      <w:pPr>
        <w:spacing w:after="0" w:line="560" w:lineRule="exact"/>
        <w:jc w:val="both"/>
        <w:rPr>
          <w:rFonts w:hint="eastAsia" w:ascii="仿宋_GB2312" w:eastAsia="仿宋_GB2312"/>
          <w:sz w:val="28"/>
          <w:szCs w:val="28"/>
        </w:rPr>
      </w:pPr>
      <w:bookmarkStart w:id="0" w:name="_GoBack"/>
      <w:bookmarkEnd w:id="0"/>
    </w:p>
    <w:p w14:paraId="58D28D42">
      <w:pPr>
        <w:spacing w:after="0" w:line="560" w:lineRule="exact"/>
        <w:ind w:firstLine="560" w:firstLineChars="200"/>
        <w:jc w:val="both"/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甲方本着公开、公平、公证的原则，于2025年7月25日对</w:t>
      </w:r>
      <w:r>
        <w:rPr>
          <w:rFonts w:hint="eastAsia" w:ascii="仿宋_GB2312" w:eastAsia="仿宋_GB2312"/>
          <w:sz w:val="28"/>
          <w:szCs w:val="28"/>
          <w:u w:val="single"/>
          <w:lang w:val="en-US" w:eastAsia="zh-CN"/>
        </w:rPr>
        <w:t xml:space="preserve">      </w:t>
      </w:r>
      <w:r>
        <w:rPr>
          <w:rFonts w:hint="eastAsia" w:ascii="仿宋_GB2312" w:eastAsia="仿宋_GB2312"/>
          <w:sz w:val="28"/>
          <w:szCs w:val="28"/>
        </w:rPr>
        <w:t>进行公开竟租。根据《中华人民共和国合同法》的相关规定，为明确权利和义务，特签订本合同。</w:t>
      </w:r>
    </w:p>
    <w:p w14:paraId="20820069">
      <w:pPr>
        <w:spacing w:after="0" w:line="560" w:lineRule="exact"/>
        <w:ind w:firstLine="560" w:firstLineChars="200"/>
        <w:jc w:val="both"/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一、出租土地基本情况：甲方出租给乙方的出租面积约为</w:t>
      </w:r>
      <w:r>
        <w:rPr>
          <w:rFonts w:hint="eastAsia" w:ascii="仿宋_GB2312" w:eastAsia="仿宋_GB2312"/>
          <w:sz w:val="28"/>
          <w:szCs w:val="28"/>
          <w:u w:val="single"/>
          <w:lang w:val="en-US" w:eastAsia="zh-CN"/>
        </w:rPr>
        <w:t xml:space="preserve">   </w:t>
      </w:r>
      <w:r>
        <w:rPr>
          <w:rFonts w:hint="eastAsia" w:ascii="仿宋_GB2312" w:eastAsia="仿宋_GB2312"/>
          <w:sz w:val="28"/>
          <w:szCs w:val="28"/>
        </w:rPr>
        <w:t>(以现场实际为准)。</w:t>
      </w:r>
    </w:p>
    <w:p w14:paraId="3656710B">
      <w:pPr>
        <w:spacing w:after="0" w:line="560" w:lineRule="exact"/>
        <w:ind w:left="279" w:leftChars="127" w:firstLine="280" w:firstLineChars="100"/>
        <w:jc w:val="both"/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二、租赁期限：租赁期暂定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 xml:space="preserve">   </w:t>
      </w:r>
      <w:r>
        <w:rPr>
          <w:rFonts w:hint="eastAsia" w:ascii="仿宋_GB2312" w:eastAsia="仿宋_GB2312"/>
          <w:sz w:val="28"/>
          <w:szCs w:val="28"/>
        </w:rPr>
        <w:t>年，即从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 xml:space="preserve">  </w:t>
      </w:r>
      <w:r>
        <w:rPr>
          <w:rFonts w:hint="eastAsia" w:ascii="仿宋_GB2312" w:eastAsia="仿宋_GB2312"/>
          <w:sz w:val="28"/>
          <w:szCs w:val="28"/>
        </w:rPr>
        <w:t>年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 xml:space="preserve">  </w:t>
      </w:r>
      <w:r>
        <w:rPr>
          <w:rFonts w:hint="eastAsia" w:ascii="仿宋_GB2312" w:eastAsia="仿宋_GB2312"/>
          <w:sz w:val="28"/>
          <w:szCs w:val="28"/>
        </w:rPr>
        <w:t>月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 xml:space="preserve">  </w:t>
      </w:r>
      <w:r>
        <w:rPr>
          <w:rFonts w:hint="eastAsia" w:ascii="仿宋_GB2312" w:eastAsia="仿宋_GB2312"/>
          <w:sz w:val="28"/>
          <w:szCs w:val="28"/>
        </w:rPr>
        <w:t>日至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 xml:space="preserve">  </w:t>
      </w:r>
      <w:r>
        <w:rPr>
          <w:rFonts w:hint="eastAsia" w:ascii="仿宋_GB2312" w:eastAsia="仿宋_GB2312"/>
          <w:sz w:val="28"/>
          <w:szCs w:val="28"/>
        </w:rPr>
        <w:t>年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 xml:space="preserve"> </w:t>
      </w:r>
      <w:r>
        <w:rPr>
          <w:rFonts w:hint="eastAsia" w:ascii="仿宋_GB2312" w:eastAsia="仿宋_GB2312"/>
          <w:sz w:val="28"/>
          <w:szCs w:val="28"/>
        </w:rPr>
        <w:t>月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 xml:space="preserve"> </w:t>
      </w:r>
      <w:r>
        <w:rPr>
          <w:rFonts w:hint="eastAsia" w:ascii="仿宋_GB2312" w:eastAsia="仿宋_GB2312"/>
          <w:sz w:val="28"/>
          <w:szCs w:val="28"/>
        </w:rPr>
        <w:t>日。</w:t>
      </w:r>
    </w:p>
    <w:p w14:paraId="7C1A7801">
      <w:pPr>
        <w:spacing w:after="0" w:line="560" w:lineRule="exact"/>
        <w:ind w:firstLine="560" w:firstLineChars="200"/>
        <w:jc w:val="both"/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三、租赁费：乙方需于签订合同时一次交清一个承租年度的租赁费共计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 xml:space="preserve"> </w:t>
      </w:r>
      <w:r>
        <w:rPr>
          <w:rFonts w:hint="eastAsia" w:ascii="仿宋_GB2312" w:eastAsia="仿宋_GB2312"/>
          <w:sz w:val="28"/>
          <w:szCs w:val="28"/>
          <w:u w:val="single"/>
          <w:lang w:val="en-US" w:eastAsia="zh-CN"/>
        </w:rPr>
        <w:t xml:space="preserve">       </w:t>
      </w:r>
      <w:r>
        <w:rPr>
          <w:rFonts w:hint="eastAsia" w:ascii="仿宋_GB2312" w:eastAsia="仿宋_GB2312"/>
          <w:sz w:val="28"/>
          <w:szCs w:val="28"/>
        </w:rPr>
        <w:t>元整，大写：壹万捌仟圆整。乙方需缴纳</w:t>
      </w:r>
      <w:r>
        <w:rPr>
          <w:rFonts w:hint="eastAsia" w:ascii="仿宋_GB2312" w:eastAsia="仿宋_GB2312"/>
          <w:sz w:val="28"/>
          <w:szCs w:val="28"/>
          <w:u w:val="single"/>
          <w:lang w:val="en-US" w:eastAsia="zh-CN"/>
        </w:rPr>
        <w:t xml:space="preserve">     </w:t>
      </w:r>
      <w:r>
        <w:rPr>
          <w:rFonts w:hint="eastAsia" w:ascii="仿宋_GB2312" w:eastAsia="仿宋_GB2312"/>
          <w:sz w:val="28"/>
          <w:szCs w:val="28"/>
        </w:rPr>
        <w:t>元保证金，合同到期无纠纷无息退回。（退押金时，需持押金收据退还，没有押金收据，不予退还押金。）</w:t>
      </w:r>
    </w:p>
    <w:p w14:paraId="1FC8958F">
      <w:pPr>
        <w:spacing w:after="0" w:line="560" w:lineRule="exact"/>
        <w:ind w:firstLine="560" w:firstLineChars="200"/>
        <w:jc w:val="both"/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四、租赁期间的水、电、暖等各项由乙方自己解决，费用由乙方负责，甲方不进行任何投入。</w:t>
      </w:r>
    </w:p>
    <w:p w14:paraId="091A61C9">
      <w:pPr>
        <w:spacing w:after="0" w:line="560" w:lineRule="exact"/>
        <w:ind w:firstLine="560" w:firstLineChars="200"/>
        <w:jc w:val="both"/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五、因该土地是区政府储备用地，随时有可能引进项目等占用，所以在租赁期内不准乙方在该地建设永久性建筑物，否则，甲方有权予以强行拆除，且拆扒费用由乙方负责。</w:t>
      </w:r>
    </w:p>
    <w:p w14:paraId="54261BDC">
      <w:pPr>
        <w:spacing w:after="0" w:line="560" w:lineRule="exact"/>
        <w:ind w:firstLine="560" w:firstLineChars="200"/>
        <w:jc w:val="both"/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六、租赁到期后，如果乙方不再继续租用，可提前30日通知甲方，并拆除所建设施，恢复原地貌。</w:t>
      </w:r>
    </w:p>
    <w:p w14:paraId="55079778">
      <w:pPr>
        <w:spacing w:after="0" w:line="560" w:lineRule="exact"/>
        <w:ind w:firstLine="560" w:firstLineChars="200"/>
        <w:jc w:val="both"/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七、租期内若政府收回该土地另行使用，甲方需提前20天通知乙方，乙方必须无条件接受，并在限定的时间内，拆除所建设施，恢复原地貌，同时终止合同。</w:t>
      </w:r>
    </w:p>
    <w:p w14:paraId="10E3728A">
      <w:pPr>
        <w:spacing w:after="0" w:line="560" w:lineRule="exact"/>
        <w:ind w:firstLine="560" w:firstLineChars="200"/>
        <w:jc w:val="both"/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八、租赁期内乙方不得私自转租，否则，甲方有权收回土地，由此造成的损失由乙方负责。</w:t>
      </w:r>
    </w:p>
    <w:p w14:paraId="2934B125">
      <w:pPr>
        <w:spacing w:after="0" w:line="560" w:lineRule="exact"/>
        <w:ind w:firstLine="560" w:firstLineChars="200"/>
        <w:jc w:val="both"/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九、乙方租用期间，要承担对该土地(包括未出租的地块)进行看护、管理的责任，使该土地不被侵占、侵蚀，确保其完整，但乙方只能使用甲方划定的区域，不得超面积、越界占用。边界及看护责任区的划定由甲方实地予以确定。乙方在租用期间，要认真负责，不允许其他人再非法占用国有土地，不允许其他人在未经甲方允许的情况下，私自到国有土地进行耕种、建其他设施、存放杂物和倾倒垃圾等，对在此之前非法耕种的、存放东西的一律清除，对发生在看护区的问题，要及时报告给甲方，不得瞒报，否则，甲方可收回其土地租用权，且不给任何补偿，不退剩余租金。</w:t>
      </w:r>
    </w:p>
    <w:p w14:paraId="70CE041F">
      <w:pPr>
        <w:spacing w:after="0" w:line="560" w:lineRule="exact"/>
        <w:ind w:firstLine="560" w:firstLineChars="200"/>
        <w:jc w:val="both"/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十、乙方要合法经营，不得搞非法活动，如与执法部门或附近居民发生纠纷，由乙方自行解决，后果自负。</w:t>
      </w:r>
    </w:p>
    <w:p w14:paraId="32DADD16">
      <w:pPr>
        <w:spacing w:after="0" w:line="560" w:lineRule="exact"/>
        <w:ind w:firstLine="560" w:firstLineChars="200"/>
        <w:jc w:val="both"/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十一、特别约定，如乙方未按约定的时间支付租赁费用，每迟延一天，双倍支付租赁费用，迟延超过十天，甲方随时可以解除合同，乙方需支付给甲方合同全部租赁费用的30%违约金，乙方已交的保证金等所有费用不予退还，乙方承担甲方的损失，支付因违约行为给甲方增加的费用、包括但不限于律师代理费、诉讼费、差旅费等所有费用。</w:t>
      </w:r>
    </w:p>
    <w:p w14:paraId="39CDEB97">
      <w:pPr>
        <w:spacing w:after="0" w:line="560" w:lineRule="exact"/>
        <w:ind w:firstLine="560" w:firstLineChars="200"/>
        <w:jc w:val="both"/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十二、违约责任。租赁期间，乙方有下列行为之一的，甲方有权终止合同，收回该土地，且乙方应按照合同总租金的20%向甲方支付违约金。若支付的违约金不足弥补甲方损失的，乙方还应负责赔偿，直至达到弥补全部损失为止。</w:t>
      </w:r>
    </w:p>
    <w:p w14:paraId="2BD3DB7F">
      <w:pPr>
        <w:spacing w:after="0" w:line="560" w:lineRule="exact"/>
        <w:ind w:firstLine="560" w:firstLineChars="200"/>
        <w:jc w:val="both"/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(1)未经甲方书面同意，将该土地进行转租、转借的。</w:t>
      </w:r>
    </w:p>
    <w:p w14:paraId="634AD101">
      <w:pPr>
        <w:spacing w:after="0" w:line="560" w:lineRule="exact"/>
        <w:ind w:firstLine="560" w:firstLineChars="200"/>
        <w:jc w:val="both"/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(2)未经甲方书面同意，在该地(地上或地下)建设永久性建筑物或其他永久性设施的。</w:t>
      </w:r>
    </w:p>
    <w:p w14:paraId="48411105">
      <w:pPr>
        <w:spacing w:after="0" w:line="560" w:lineRule="exact"/>
        <w:ind w:firstLine="560" w:firstLineChars="200"/>
        <w:jc w:val="both"/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(3)利用该土地进行违法活动的。</w:t>
      </w:r>
    </w:p>
    <w:p w14:paraId="0336B7C0">
      <w:pPr>
        <w:spacing w:after="0" w:line="560" w:lineRule="exact"/>
        <w:ind w:firstLine="560" w:firstLineChars="200"/>
        <w:jc w:val="both"/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(4)乙方不能在约定时间内交齐土地租赁费的。</w:t>
      </w:r>
    </w:p>
    <w:p w14:paraId="131C3E8B">
      <w:pPr>
        <w:spacing w:after="0" w:line="560" w:lineRule="exact"/>
        <w:ind w:firstLine="560" w:firstLineChars="200"/>
        <w:jc w:val="both"/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(5)因乙方没有尽到看护责任，致使土地被附近居民或其他人侵占、倾倒垃圾的。</w:t>
      </w:r>
    </w:p>
    <w:p w14:paraId="3D981B89">
      <w:pPr>
        <w:spacing w:after="0" w:line="560" w:lineRule="exact"/>
        <w:ind w:firstLine="560" w:firstLineChars="200"/>
        <w:jc w:val="both"/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十三、其他</w:t>
      </w:r>
    </w:p>
    <w:p w14:paraId="0F6523B9">
      <w:pPr>
        <w:spacing w:after="0" w:line="560" w:lineRule="exact"/>
        <w:ind w:firstLine="560" w:firstLineChars="200"/>
        <w:jc w:val="both"/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1、租赁到期，乙方必须无条件撤离，甲乙双方发生争议时，应本着友好互利的原则协商解决，协商不成的，可通过司法途径解决。</w:t>
      </w:r>
    </w:p>
    <w:p w14:paraId="5A3FBE2A">
      <w:pPr>
        <w:spacing w:after="0" w:line="560" w:lineRule="exact"/>
        <w:ind w:firstLine="560" w:firstLineChars="200"/>
        <w:jc w:val="both"/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2、本合同未尽事宜，按《中华人民共和国合同法》有关规定协商解决。双方可签订补充协议，补充协议与本合同具有同等法律效力。</w:t>
      </w:r>
    </w:p>
    <w:p w14:paraId="5A6F2BC5">
      <w:pPr>
        <w:spacing w:after="0" w:line="560" w:lineRule="exact"/>
        <w:ind w:firstLine="560" w:firstLineChars="200"/>
        <w:jc w:val="both"/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十四、本合同一式四份，甲方持两份，乙方执一份，交易中心执一份，合同自签字盖章之日起生效。</w:t>
      </w:r>
    </w:p>
    <w:p w14:paraId="75EF0E96">
      <w:pPr>
        <w:spacing w:after="0" w:line="560" w:lineRule="exact"/>
        <w:jc w:val="both"/>
        <w:rPr>
          <w:rFonts w:hint="eastAsia" w:ascii="仿宋_GB2312" w:eastAsia="仿宋_GB2312"/>
          <w:sz w:val="28"/>
          <w:szCs w:val="28"/>
        </w:rPr>
      </w:pPr>
    </w:p>
    <w:p w14:paraId="6F0F9184">
      <w:pPr>
        <w:spacing w:after="0" w:line="560" w:lineRule="exact"/>
        <w:jc w:val="both"/>
        <w:rPr>
          <w:rFonts w:hint="eastAsia" w:ascii="仿宋_GB2312" w:eastAsia="仿宋_GB2312"/>
          <w:sz w:val="28"/>
          <w:szCs w:val="28"/>
        </w:rPr>
      </w:pPr>
    </w:p>
    <w:p w14:paraId="434E6D10">
      <w:pPr>
        <w:tabs>
          <w:tab w:val="left" w:pos="880"/>
        </w:tabs>
        <w:spacing w:after="0" w:line="560" w:lineRule="exact"/>
        <w:jc w:val="both"/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甲方（章）：</w:t>
      </w:r>
      <w:r>
        <w:rPr>
          <w:rFonts w:ascii="仿宋_GB2312" w:eastAsia="仿宋_GB2312"/>
          <w:sz w:val="28"/>
          <w:szCs w:val="28"/>
        </w:rPr>
        <w:tab/>
      </w:r>
      <w:r>
        <w:rPr>
          <w:rFonts w:ascii="仿宋_GB2312" w:eastAsia="仿宋_GB2312"/>
          <w:sz w:val="28"/>
          <w:szCs w:val="28"/>
        </w:rPr>
        <w:tab/>
      </w:r>
      <w:r>
        <w:rPr>
          <w:rFonts w:ascii="仿宋_GB2312" w:eastAsia="仿宋_GB2312"/>
          <w:sz w:val="28"/>
          <w:szCs w:val="28"/>
        </w:rPr>
        <w:tab/>
      </w:r>
      <w:r>
        <w:rPr>
          <w:rFonts w:ascii="仿宋_GB2312" w:eastAsia="仿宋_GB2312"/>
          <w:sz w:val="28"/>
          <w:szCs w:val="28"/>
        </w:rPr>
        <w:tab/>
      </w:r>
      <w:r>
        <w:rPr>
          <w:rFonts w:ascii="仿宋_GB2312" w:eastAsia="仿宋_GB2312"/>
          <w:sz w:val="28"/>
          <w:szCs w:val="28"/>
        </w:rPr>
        <w:tab/>
      </w:r>
      <w:r>
        <w:rPr>
          <w:rFonts w:ascii="仿宋_GB2312" w:eastAsia="仿宋_GB2312"/>
          <w:sz w:val="28"/>
          <w:szCs w:val="28"/>
        </w:rPr>
        <w:tab/>
      </w:r>
      <w:r>
        <w:rPr>
          <w:rFonts w:ascii="仿宋_GB2312" w:eastAsia="仿宋_GB2312"/>
          <w:sz w:val="28"/>
          <w:szCs w:val="28"/>
        </w:rPr>
        <w:tab/>
      </w:r>
      <w:r>
        <w:rPr>
          <w:rFonts w:ascii="仿宋_GB2312" w:eastAsia="仿宋_GB2312"/>
          <w:sz w:val="28"/>
          <w:szCs w:val="28"/>
        </w:rPr>
        <w:tab/>
      </w:r>
      <w:r>
        <w:rPr>
          <w:rFonts w:ascii="仿宋_GB2312" w:eastAsia="仿宋_GB2312"/>
          <w:sz w:val="28"/>
          <w:szCs w:val="28"/>
        </w:rPr>
        <w:tab/>
      </w:r>
      <w:r>
        <w:rPr>
          <w:rFonts w:hint="eastAsia" w:ascii="仿宋_GB2312" w:eastAsia="仿宋_GB2312"/>
          <w:sz w:val="28"/>
          <w:szCs w:val="28"/>
        </w:rPr>
        <w:t>乙方（章）：</w:t>
      </w:r>
    </w:p>
    <w:p w14:paraId="32BADF3F">
      <w:pPr>
        <w:tabs>
          <w:tab w:val="left" w:pos="880"/>
        </w:tabs>
        <w:spacing w:after="0" w:line="560" w:lineRule="exact"/>
        <w:jc w:val="both"/>
        <w:rPr>
          <w:rFonts w:hint="eastAsia" w:ascii="仿宋_GB2312" w:eastAsia="仿宋_GB2312"/>
          <w:sz w:val="28"/>
          <w:szCs w:val="28"/>
        </w:rPr>
      </w:pPr>
    </w:p>
    <w:p w14:paraId="461344F6">
      <w:pPr>
        <w:tabs>
          <w:tab w:val="left" w:pos="880"/>
        </w:tabs>
        <w:spacing w:after="0" w:line="560" w:lineRule="exact"/>
        <w:jc w:val="both"/>
        <w:rPr>
          <w:rFonts w:hint="eastAsia" w:ascii="仿宋_GB2312" w:eastAsia="仿宋_GB2312"/>
          <w:sz w:val="28"/>
          <w:szCs w:val="28"/>
        </w:rPr>
      </w:pPr>
    </w:p>
    <w:p w14:paraId="6C49595F">
      <w:pPr>
        <w:tabs>
          <w:tab w:val="left" w:pos="880"/>
        </w:tabs>
        <w:spacing w:after="0" w:line="560" w:lineRule="exact"/>
        <w:jc w:val="both"/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法定代表人：</w:t>
      </w:r>
      <w:r>
        <w:rPr>
          <w:rFonts w:ascii="仿宋_GB2312" w:eastAsia="仿宋_GB2312"/>
          <w:sz w:val="28"/>
          <w:szCs w:val="28"/>
        </w:rPr>
        <w:tab/>
      </w:r>
      <w:r>
        <w:rPr>
          <w:rFonts w:ascii="仿宋_GB2312" w:eastAsia="仿宋_GB2312"/>
          <w:sz w:val="28"/>
          <w:szCs w:val="28"/>
        </w:rPr>
        <w:tab/>
      </w:r>
      <w:r>
        <w:rPr>
          <w:rFonts w:ascii="仿宋_GB2312" w:eastAsia="仿宋_GB2312"/>
          <w:sz w:val="28"/>
          <w:szCs w:val="28"/>
        </w:rPr>
        <w:tab/>
      </w:r>
      <w:r>
        <w:rPr>
          <w:rFonts w:ascii="仿宋_GB2312" w:eastAsia="仿宋_GB2312"/>
          <w:sz w:val="28"/>
          <w:szCs w:val="28"/>
        </w:rPr>
        <w:tab/>
      </w:r>
      <w:r>
        <w:rPr>
          <w:rFonts w:ascii="仿宋_GB2312" w:eastAsia="仿宋_GB2312"/>
          <w:sz w:val="28"/>
          <w:szCs w:val="28"/>
        </w:rPr>
        <w:tab/>
      </w:r>
      <w:r>
        <w:rPr>
          <w:rFonts w:ascii="仿宋_GB2312" w:eastAsia="仿宋_GB2312"/>
          <w:sz w:val="28"/>
          <w:szCs w:val="28"/>
        </w:rPr>
        <w:tab/>
      </w:r>
      <w:r>
        <w:rPr>
          <w:rFonts w:ascii="仿宋_GB2312" w:eastAsia="仿宋_GB2312"/>
          <w:sz w:val="28"/>
          <w:szCs w:val="28"/>
        </w:rPr>
        <w:tab/>
      </w:r>
      <w:r>
        <w:rPr>
          <w:rFonts w:ascii="仿宋_GB2312" w:eastAsia="仿宋_GB2312"/>
          <w:sz w:val="28"/>
          <w:szCs w:val="28"/>
        </w:rPr>
        <w:tab/>
      </w:r>
      <w:r>
        <w:rPr>
          <w:rFonts w:hint="eastAsia" w:ascii="仿宋_GB2312" w:eastAsia="仿宋_GB2312"/>
          <w:sz w:val="28"/>
          <w:szCs w:val="28"/>
        </w:rPr>
        <w:t>法定代表人：</w:t>
      </w:r>
    </w:p>
    <w:p w14:paraId="54F680B4">
      <w:pPr>
        <w:spacing w:after="0" w:line="560" w:lineRule="exact"/>
        <w:jc w:val="both"/>
        <w:rPr>
          <w:rFonts w:hint="eastAsia" w:ascii="仿宋_GB2312" w:eastAsia="仿宋_GB2312"/>
          <w:sz w:val="28"/>
          <w:szCs w:val="28"/>
        </w:rPr>
      </w:pPr>
    </w:p>
    <w:p w14:paraId="103ED31E">
      <w:pPr>
        <w:spacing w:after="0" w:line="560" w:lineRule="exact"/>
        <w:jc w:val="both"/>
        <w:rPr>
          <w:rFonts w:hint="eastAsia" w:ascii="仿宋_GB2312" w:eastAsia="仿宋_GB2312"/>
          <w:sz w:val="28"/>
          <w:szCs w:val="28"/>
        </w:rPr>
      </w:pPr>
    </w:p>
    <w:p w14:paraId="4FD1F338">
      <w:pPr>
        <w:spacing w:after="0" w:line="560" w:lineRule="exact"/>
        <w:jc w:val="right"/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  <w:lang w:val="en-US" w:eastAsia="zh-CN"/>
        </w:rPr>
        <w:t xml:space="preserve"> </w:t>
      </w:r>
      <w:r>
        <w:rPr>
          <w:rFonts w:hint="eastAsia" w:ascii="仿宋_GB2312" w:eastAsia="仿宋_GB2312"/>
          <w:sz w:val="28"/>
          <w:szCs w:val="28"/>
        </w:rPr>
        <w:t>年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 xml:space="preserve">  月  </w:t>
      </w:r>
      <w:r>
        <w:rPr>
          <w:rFonts w:hint="eastAsia" w:ascii="仿宋_GB2312" w:eastAsia="仿宋_GB2312"/>
          <w:sz w:val="28"/>
          <w:szCs w:val="28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8" w:lineRule="auto"/>
      </w:pPr>
      <w:r>
        <w:separator/>
      </w:r>
    </w:p>
  </w:footnote>
  <w:footnote w:type="continuationSeparator" w:id="1">
    <w:p>
      <w:pPr>
        <w:spacing w:before="0" w:after="0" w:line="278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1D54"/>
    <w:rsid w:val="00137450"/>
    <w:rsid w:val="001412E5"/>
    <w:rsid w:val="003D392B"/>
    <w:rsid w:val="003E6FAE"/>
    <w:rsid w:val="003F7DE7"/>
    <w:rsid w:val="00584351"/>
    <w:rsid w:val="006E755B"/>
    <w:rsid w:val="00757989"/>
    <w:rsid w:val="007743B5"/>
    <w:rsid w:val="007A50D9"/>
    <w:rsid w:val="00934562"/>
    <w:rsid w:val="00A2003A"/>
    <w:rsid w:val="00B20924"/>
    <w:rsid w:val="00BB1D54"/>
    <w:rsid w:val="00BE6F6D"/>
    <w:rsid w:val="00C80833"/>
    <w:rsid w:val="5ED70176"/>
    <w:rsid w:val="69647B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160" w:line="278" w:lineRule="auto"/>
    </w:pPr>
    <w:rPr>
      <w:rFonts w:asciiTheme="minorHAnsi" w:hAnsiTheme="minorHAnsi" w:eastAsiaTheme="minorEastAsia" w:cstheme="minorBidi"/>
      <w:kern w:val="2"/>
      <w:sz w:val="22"/>
      <w:szCs w:val="24"/>
      <w:lang w:val="en-US" w:eastAsia="zh-CN" w:bidi="ar-SA"/>
      <w14:ligatures w14:val="standardContextual"/>
    </w:rPr>
  </w:style>
  <w:style w:type="paragraph" w:styleId="2">
    <w:name w:val="heading 1"/>
    <w:basedOn w:val="1"/>
    <w:next w:val="1"/>
    <w:link w:val="17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paragraph" w:styleId="3">
    <w:name w:val="heading 2"/>
    <w:basedOn w:val="1"/>
    <w:next w:val="1"/>
    <w:link w:val="18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paragraph" w:styleId="4">
    <w:name w:val="heading 3"/>
    <w:basedOn w:val="1"/>
    <w:next w:val="1"/>
    <w:link w:val="19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paragraph" w:styleId="5">
    <w:name w:val="heading 4"/>
    <w:basedOn w:val="1"/>
    <w:next w:val="1"/>
    <w:link w:val="20"/>
    <w:semiHidden/>
    <w:unhideWhenUsed/>
    <w:qFormat/>
    <w:uiPriority w:val="9"/>
    <w:pPr>
      <w:keepNext/>
      <w:keepLines/>
      <w:spacing w:before="80" w:after="40"/>
      <w:outlineLvl w:val="3"/>
    </w:pPr>
    <w:rPr>
      <w:rFonts w:cstheme="majorBidi"/>
      <w:color w:val="104862" w:themeColor="accent1" w:themeShade="BF"/>
      <w:sz w:val="28"/>
      <w:szCs w:val="28"/>
    </w:rPr>
  </w:style>
  <w:style w:type="paragraph" w:styleId="6">
    <w:name w:val="heading 5"/>
    <w:basedOn w:val="1"/>
    <w:next w:val="1"/>
    <w:link w:val="21"/>
    <w:semiHidden/>
    <w:unhideWhenUsed/>
    <w:qFormat/>
    <w:uiPriority w:val="9"/>
    <w:pPr>
      <w:keepNext/>
      <w:keepLines/>
      <w:spacing w:before="80" w:after="40"/>
      <w:outlineLvl w:val="4"/>
    </w:pPr>
    <w:rPr>
      <w:rFonts w:cstheme="majorBidi"/>
      <w:color w:val="104862" w:themeColor="accent1" w:themeShade="BF"/>
      <w:sz w:val="24"/>
    </w:rPr>
  </w:style>
  <w:style w:type="paragraph" w:styleId="7">
    <w:name w:val="heading 6"/>
    <w:basedOn w:val="1"/>
    <w:next w:val="1"/>
    <w:link w:val="22"/>
    <w:semiHidden/>
    <w:unhideWhenUsed/>
    <w:qFormat/>
    <w:uiPriority w:val="9"/>
    <w:pPr>
      <w:keepNext/>
      <w:keepLines/>
      <w:spacing w:before="40" w:after="0"/>
      <w:outlineLvl w:val="5"/>
    </w:pPr>
    <w:rPr>
      <w:rFonts w:cstheme="majorBidi"/>
      <w:b/>
      <w:bCs/>
      <w:color w:val="104862" w:themeColor="accent1" w:themeShade="BF"/>
    </w:rPr>
  </w:style>
  <w:style w:type="paragraph" w:styleId="8">
    <w:name w:val="heading 7"/>
    <w:basedOn w:val="1"/>
    <w:next w:val="1"/>
    <w:link w:val="23"/>
    <w:semiHidden/>
    <w:unhideWhenUsed/>
    <w:qFormat/>
    <w:uiPriority w:val="9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4"/>
    <w:semiHidden/>
    <w:unhideWhenUsed/>
    <w:qFormat/>
    <w:uiPriority w:val="9"/>
    <w:pPr>
      <w:keepNext/>
      <w:keepLines/>
      <w:spacing w:after="0"/>
      <w:outlineLvl w:val="7"/>
    </w:pPr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25"/>
    <w:semiHidden/>
    <w:unhideWhenUsed/>
    <w:qFormat/>
    <w:uiPriority w:val="9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16">
    <w:name w:val="Default Paragraph Font"/>
    <w:semiHidden/>
    <w:unhideWhenUsed/>
    <w:qFormat/>
    <w:uiPriority w:val="1"/>
  </w:style>
  <w:style w:type="table" w:default="1" w:styleId="1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footer"/>
    <w:basedOn w:val="1"/>
    <w:link w:val="36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paragraph" w:styleId="12">
    <w:name w:val="header"/>
    <w:basedOn w:val="1"/>
    <w:link w:val="35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paragraph" w:styleId="13">
    <w:name w:val="Subtitle"/>
    <w:basedOn w:val="1"/>
    <w:next w:val="1"/>
    <w:link w:val="27"/>
    <w:qFormat/>
    <w:uiPriority w:val="11"/>
    <w:pPr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4">
    <w:name w:val="Title"/>
    <w:basedOn w:val="1"/>
    <w:next w:val="1"/>
    <w:link w:val="26"/>
    <w:qFormat/>
    <w:uiPriority w:val="10"/>
    <w:pPr>
      <w:spacing w:after="80" w:line="240" w:lineRule="auto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17">
    <w:name w:val="标题 1 字符"/>
    <w:basedOn w:val="16"/>
    <w:link w:val="2"/>
    <w:qFormat/>
    <w:uiPriority w:val="9"/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character" w:customStyle="1" w:styleId="18">
    <w:name w:val="标题 2 字符"/>
    <w:basedOn w:val="16"/>
    <w:link w:val="3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character" w:customStyle="1" w:styleId="19">
    <w:name w:val="标题 3 字符"/>
    <w:basedOn w:val="16"/>
    <w:link w:val="4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character" w:customStyle="1" w:styleId="20">
    <w:name w:val="标题 4 字符"/>
    <w:basedOn w:val="16"/>
    <w:link w:val="5"/>
    <w:semiHidden/>
    <w:qFormat/>
    <w:uiPriority w:val="9"/>
    <w:rPr>
      <w:rFonts w:cstheme="majorBidi"/>
      <w:color w:val="104862" w:themeColor="accent1" w:themeShade="BF"/>
      <w:sz w:val="28"/>
      <w:szCs w:val="28"/>
    </w:rPr>
  </w:style>
  <w:style w:type="character" w:customStyle="1" w:styleId="21">
    <w:name w:val="标题 5 字符"/>
    <w:basedOn w:val="16"/>
    <w:link w:val="6"/>
    <w:semiHidden/>
    <w:qFormat/>
    <w:uiPriority w:val="9"/>
    <w:rPr>
      <w:rFonts w:cstheme="majorBidi"/>
      <w:color w:val="104862" w:themeColor="accent1" w:themeShade="BF"/>
      <w:sz w:val="24"/>
    </w:rPr>
  </w:style>
  <w:style w:type="character" w:customStyle="1" w:styleId="22">
    <w:name w:val="标题 6 字符"/>
    <w:basedOn w:val="16"/>
    <w:link w:val="7"/>
    <w:semiHidden/>
    <w:qFormat/>
    <w:uiPriority w:val="9"/>
    <w:rPr>
      <w:rFonts w:cstheme="majorBidi"/>
      <w:b/>
      <w:bCs/>
      <w:color w:val="104862" w:themeColor="accent1" w:themeShade="BF"/>
    </w:rPr>
  </w:style>
  <w:style w:type="character" w:customStyle="1" w:styleId="23">
    <w:name w:val="标题 7 字符"/>
    <w:basedOn w:val="16"/>
    <w:link w:val="8"/>
    <w:semiHidden/>
    <w:qFormat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4">
    <w:name w:val="标题 8 字符"/>
    <w:basedOn w:val="16"/>
    <w:link w:val="9"/>
    <w:semiHidden/>
    <w:qFormat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5">
    <w:name w:val="标题 9 字符"/>
    <w:basedOn w:val="16"/>
    <w:link w:val="10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6">
    <w:name w:val="标题 字符"/>
    <w:basedOn w:val="16"/>
    <w:link w:val="14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7">
    <w:name w:val="副标题 字符"/>
    <w:basedOn w:val="16"/>
    <w:link w:val="13"/>
    <w:qFormat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8">
    <w:name w:val="Quote"/>
    <w:basedOn w:val="1"/>
    <w:next w:val="1"/>
    <w:link w:val="29"/>
    <w:qFormat/>
    <w:uiPriority w:val="29"/>
    <w:pPr>
      <w:spacing w:before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29">
    <w:name w:val="引用 字符"/>
    <w:basedOn w:val="16"/>
    <w:link w:val="28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0">
    <w:name w:val="List Paragraph"/>
    <w:basedOn w:val="1"/>
    <w:qFormat/>
    <w:uiPriority w:val="34"/>
    <w:pPr>
      <w:ind w:left="720"/>
      <w:contextualSpacing/>
    </w:pPr>
  </w:style>
  <w:style w:type="character" w:customStyle="1" w:styleId="31">
    <w:name w:val="Intense Emphasis"/>
    <w:basedOn w:val="16"/>
    <w:qFormat/>
    <w:uiPriority w:val="21"/>
    <w:rPr>
      <w:i/>
      <w:iCs/>
      <w:color w:val="104862" w:themeColor="accent1" w:themeShade="BF"/>
    </w:rPr>
  </w:style>
  <w:style w:type="paragraph" w:styleId="32">
    <w:name w:val="Intense Quote"/>
    <w:basedOn w:val="1"/>
    <w:next w:val="1"/>
    <w:link w:val="33"/>
    <w:qFormat/>
    <w:uiPriority w:val="30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104862" w:themeColor="accent1" w:themeShade="BF"/>
    </w:rPr>
  </w:style>
  <w:style w:type="character" w:customStyle="1" w:styleId="33">
    <w:name w:val="明显引用 字符"/>
    <w:basedOn w:val="16"/>
    <w:link w:val="32"/>
    <w:qFormat/>
    <w:uiPriority w:val="30"/>
    <w:rPr>
      <w:i/>
      <w:iCs/>
      <w:color w:val="104862" w:themeColor="accent1" w:themeShade="BF"/>
    </w:rPr>
  </w:style>
  <w:style w:type="character" w:customStyle="1" w:styleId="34">
    <w:name w:val="Intense Reference"/>
    <w:basedOn w:val="16"/>
    <w:qFormat/>
    <w:uiPriority w:val="32"/>
    <w:rPr>
      <w:b/>
      <w:bCs/>
      <w:smallCaps/>
      <w:color w:val="104862" w:themeColor="accent1" w:themeShade="BF"/>
      <w:spacing w:val="5"/>
    </w:rPr>
  </w:style>
  <w:style w:type="character" w:customStyle="1" w:styleId="35">
    <w:name w:val="页眉 字符"/>
    <w:basedOn w:val="16"/>
    <w:link w:val="12"/>
    <w:qFormat/>
    <w:uiPriority w:val="99"/>
    <w:rPr>
      <w:sz w:val="18"/>
      <w:szCs w:val="18"/>
    </w:rPr>
  </w:style>
  <w:style w:type="character" w:customStyle="1" w:styleId="36">
    <w:name w:val="页脚 字符"/>
    <w:basedOn w:val="16"/>
    <w:link w:val="11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1392</Words>
  <Characters>1412</Characters>
  <Lines>10</Lines>
  <Paragraphs>3</Paragraphs>
  <TotalTime>0</TotalTime>
  <ScaleCrop>false</ScaleCrop>
  <LinksUpToDate>false</LinksUpToDate>
  <CharactersWithSpaces>1471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2025-07-30T01:37:00Z</dcterms:created>
  <dc:creator>bo can</dc:creator>
  <cp:lastModifiedBy>ଲଇଉକ</cp:lastModifiedBy>
  <dcterms:modified xsi:type="dcterms:W3CDTF">2025-08-08T01:52:10Z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eyJoZGlkIjoiMmE1ZWE3YTBmNmQ5YTk4ZTkwYzM0OWM2NTE2MDFhNjEiLCJ1c2VySWQiOiI1MDg2ODY3NTEifQ==</vt:lpwstr>
  </property>
  <property fmtid="{D5CDD505-2E9C-101B-9397-08002B2CF9AE}" pid="3" name="KSOProductBuildVer">
    <vt:lpwstr>2052-12.1.0.21915</vt:lpwstr>
  </property>
  <property fmtid="{D5CDD505-2E9C-101B-9397-08002B2CF9AE}" pid="4" name="ICV">
    <vt:lpwstr>13438236FF3045FF82A1A9FB71A405AC_13</vt:lpwstr>
  </property>
</Properties>
</file>