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539F">
      <w:pPr>
        <w:pStyle w:val="5"/>
        <w:widowControl/>
        <w:shd w:val="clear" w:color="auto" w:fill="FFFFFF"/>
        <w:spacing w:beforeAutospacing="0" w:afterAutospacing="0" w:line="360" w:lineRule="atLeast"/>
        <w:jc w:val="center"/>
        <w:rPr>
          <w:rFonts w:asciiTheme="minorEastAsia" w:hAnsiTheme="minorEastAsia" w:cstheme="minorHAns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HAns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Theme="minorEastAsia" w:hAnsiTheme="minorEastAsia" w:cstheme="minorHAnsi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样本</w:t>
      </w:r>
      <w:r>
        <w:rPr>
          <w:rFonts w:hint="eastAsia" w:asciiTheme="minorEastAsia" w:hAnsiTheme="minorEastAsia" w:cstheme="minorHAns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43CDA6B1">
      <w:pPr>
        <w:pStyle w:val="5"/>
        <w:widowControl/>
        <w:shd w:val="clear" w:color="auto" w:fill="FFFFFF"/>
        <w:spacing w:beforeAutospacing="0" w:afterAutospacing="0" w:line="360" w:lineRule="atLeast"/>
        <w:jc w:val="center"/>
        <w:rPr>
          <w:rFonts w:hint="eastAsia" w:asciiTheme="minorEastAsia" w:hAnsiTheme="minorEastAsia" w:cstheme="minorHAns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D572A9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default" w:asciiTheme="minorEastAsia" w:hAnsiTheme="minorEastAsia" w:eastAsiaTheme="minorEastAsia" w:cstheme="minorEastAsia"/>
          <w:color w:val="000000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转让方（甲方）：</w:t>
      </w:r>
    </w:p>
    <w:p w14:paraId="5875FCB9">
      <w:pPr>
        <w:widowControl/>
        <w:wordWrap w:val="0"/>
        <w:ind w:firstLine="500" w:firstLineChars="200"/>
        <w:jc w:val="left"/>
        <w:rPr>
          <w:rFonts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  <w:t>受让方（乙方）：</w:t>
      </w:r>
    </w:p>
    <w:p w14:paraId="6CA490CF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乙方在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  <w:lang w:val="en-US" w:eastAsia="zh-CN"/>
        </w:rPr>
        <w:t>巴林左旗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  <w:lang w:eastAsia="zh-CN"/>
        </w:rPr>
        <w:t>公共资源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交易中心组织的甲方</w:t>
      </w:r>
      <w:r>
        <w:rPr>
          <w:rFonts w:hint="eastAsia" w:asciiTheme="minorEastAsia" w:hAnsiTheme="minorEastAsia" w:cstheme="minorEastAsia"/>
          <w:color w:val="333333"/>
          <w:szCs w:val="24"/>
          <w:u w:val="single"/>
          <w:shd w:val="clear" w:color="auto" w:fill="FFFFFF"/>
          <w:lang w:val="en-US" w:eastAsia="zh-CN"/>
        </w:rPr>
        <w:t xml:space="preserve">               （项目名称）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转让项目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（项目编号：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）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中以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u w:val="single"/>
          <w:shd w:val="clear" w:color="auto" w:fill="FFFFFF"/>
        </w:rPr>
        <w:t xml:space="preserve">  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u w:val="single"/>
          <w:shd w:val="clear" w:color="auto" w:fill="FFFFFF"/>
        </w:rPr>
        <w:t xml:space="preserve">  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的方式被确定为</w:t>
      </w:r>
      <w:r>
        <w:rPr>
          <w:rFonts w:hint="eastAsia" w:asciiTheme="minorEastAsia" w:hAnsiTheme="minorEastAsia" w:cstheme="minorEastAsia"/>
          <w:spacing w:val="5"/>
          <w:szCs w:val="24"/>
          <w:shd w:val="clear" w:color="auto" w:fill="FFFFFF"/>
        </w:rPr>
        <w:t>受让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人，依据</w:t>
      </w:r>
      <w:r>
        <w:rPr>
          <w:rFonts w:ascii="宋体" w:hAnsi="宋体" w:eastAsia="宋体" w:cs="宋体"/>
          <w:sz w:val="24"/>
          <w:szCs w:val="24"/>
        </w:rPr>
        <w:t>《中华人民共和国民法典》《中华人民共和国企业国有资产法》《企业国有资产交易监督管理办法》（国资委、财政部令第 32 号）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及其他有关法律规定，遵循平等、自愿、公平和诚实信用的原则，根据本次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公告的内容及甲乙双方的承诺，经甲、乙双方协商一致，达成如下条款，签订本合同，以便共同遵守。</w:t>
      </w:r>
    </w:p>
    <w:p w14:paraId="6D44FBF5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一、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标的基本情况：</w:t>
      </w:r>
    </w:p>
    <w:p w14:paraId="53EB7750">
      <w:pPr>
        <w:widowControl/>
        <w:shd w:val="clear" w:color="auto" w:fill="FFFFFF"/>
        <w:spacing w:line="360" w:lineRule="auto"/>
        <w:ind w:firstLine="500" w:firstLineChars="200"/>
        <w:jc w:val="left"/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  <w:t>标的编号：</w:t>
      </w:r>
    </w:p>
    <w:p w14:paraId="1E32E806">
      <w:pPr>
        <w:widowControl/>
        <w:shd w:val="clear" w:color="auto" w:fill="FFFFFF"/>
        <w:spacing w:line="360" w:lineRule="auto"/>
        <w:ind w:firstLine="500" w:firstLineChars="200"/>
        <w:jc w:val="left"/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  <w:lang w:val="en-US" w:eastAsia="zh-CN"/>
        </w:rPr>
        <w:t>车辆品牌：</w:t>
      </w:r>
    </w:p>
    <w:p w14:paraId="6837CFE3">
      <w:pPr>
        <w:widowControl/>
        <w:shd w:val="clear" w:color="auto" w:fill="FFFFFF"/>
        <w:spacing w:line="360" w:lineRule="auto"/>
        <w:ind w:firstLine="500" w:firstLineChars="200"/>
        <w:jc w:val="left"/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  <w:lang w:val="en-US" w:eastAsia="zh-CN"/>
        </w:rPr>
        <w:t>车牌号：</w:t>
      </w:r>
    </w:p>
    <w:p w14:paraId="4741826F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上述转让标的以转让公告中列示的资产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及相关条款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为限，以实物现状为准。</w:t>
      </w:r>
    </w:p>
    <w:p w14:paraId="1970250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二、合同价款及付款方式：</w:t>
      </w:r>
    </w:p>
    <w:p w14:paraId="532712E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本次转让成交总价款为人民币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元整，￥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0DBF6F4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受让方须于合同生效之日起 5 个工作日内，将全部成交价款一次性付至转让方指定账户：</w:t>
      </w:r>
    </w:p>
    <w:p w14:paraId="269B072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开户行：________</w:t>
      </w:r>
    </w:p>
    <w:p w14:paraId="726AA7A4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账 号：________</w:t>
      </w:r>
    </w:p>
    <w:p w14:paraId="13688D1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t>户 名：</w:t>
      </w:r>
    </w:p>
    <w:p w14:paraId="34D4F474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三、产权交接</w:t>
      </w:r>
    </w:p>
    <w:p w14:paraId="504C262D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交货及验收：</w:t>
      </w: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交清全部成交价款并办完过户手续后5个工作日内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交货并同时验收。转让方将所转让产权所涉及的明细交予受让方，受让方若无异议，应在交接清单上签字盖章予以确认，完成双方的交接。如果双方不能按时完成交接，则一方有权对过错方按照其过错程度追究相应的责任。</w:t>
      </w:r>
    </w:p>
    <w:p w14:paraId="2E7ED7A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ascii="宋体" w:hAnsi="宋体" w:eastAsia="宋体" w:cs="宋体"/>
          <w:sz w:val="24"/>
          <w:szCs w:val="24"/>
        </w:rPr>
        <w:t>车辆毁损、灭失的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风险，自车辆实际交付并签署交接清单之日起由甲方转移至乙方。</w:t>
      </w:r>
    </w:p>
    <w:p w14:paraId="2EFE26B0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四、甲、乙双方的承诺</w:t>
      </w:r>
    </w:p>
    <w:p w14:paraId="09C60E36">
      <w:pPr>
        <w:pStyle w:val="5"/>
        <w:widowControl/>
        <w:shd w:val="clear" w:color="auto" w:fill="FFFFFF"/>
        <w:spacing w:beforeAutospacing="0" w:afterAutospacing="0" w:line="360" w:lineRule="auto"/>
        <w:ind w:left="504" w:leftChars="24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1.甲方向乙方承诺所转让的产权权属真实、完整，没有隐匿下列事实：（1）执法机构查封资产的情形；</w:t>
      </w:r>
    </w:p>
    <w:p w14:paraId="36623A9A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（2）权益、资产担保的情形；</w:t>
      </w:r>
    </w:p>
    <w:p w14:paraId="188350E8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（3）资产隐匿的情形；</w:t>
      </w:r>
    </w:p>
    <w:p w14:paraId="7D5C2BD1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（4）诉讼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  <w:lang w:eastAsia="zh-CN"/>
        </w:rPr>
        <w:t>正在进行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的情形；</w:t>
      </w:r>
    </w:p>
    <w:p w14:paraId="1BF4A29E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（5）影响产权真实、完整的其他事实。</w:t>
      </w:r>
    </w:p>
    <w:p w14:paraId="71052485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2.乙方向甲方承诺拥有完全的权利能力和行为能力进行产权竞买，无欺诈行为。</w:t>
      </w:r>
    </w:p>
    <w:p w14:paraId="7D0EF710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五、争议的解决方式</w:t>
      </w:r>
    </w:p>
    <w:p w14:paraId="3253DFF1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1.履行合同过程中发生争议，双方应通过友好协商解决；经协商不能达成协议时，可以向合同签订所在地人民法院提出诉讼。</w:t>
      </w:r>
    </w:p>
    <w:p w14:paraId="5903AEAF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2. 在诉讼期间，除了必须在诉讼过程中进行解决的那部分问题以外，合同其余部分应继续履行。</w:t>
      </w:r>
    </w:p>
    <w:p w14:paraId="0D7275D9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六、权证的变更</w:t>
      </w:r>
    </w:p>
    <w:p w14:paraId="12F2F468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经甲、乙双方协商和共同配合，由乙方在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  <w:lang w:val="en-US" w:eastAsia="zh-CN"/>
        </w:rPr>
        <w:t>10个工作日内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完成所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产权的权属变更手续。</w:t>
      </w:r>
    </w:p>
    <w:p w14:paraId="4DDB6942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七、产权转让的税收和费用</w:t>
      </w:r>
    </w:p>
    <w:p w14:paraId="2BF5A028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产权转让中涉及的有关税、费，按照国家有关法律规定和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公告要求缴纳。</w:t>
      </w:r>
    </w:p>
    <w:p w14:paraId="42481503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八、违约责任</w:t>
      </w:r>
    </w:p>
    <w:p w14:paraId="2BAE2CA4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1.任何一方发生违约行为，都必须承担违约责任。如转让方不履行约定义务，应双倍返还受让方竞买保证金；如受让方不履行约定义务，则无权要求返还竞买保证金。</w:t>
      </w:r>
    </w:p>
    <w:p w14:paraId="2C9D2C6B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2.受让方未能按期支付交易价款，每逾期壹天，应按总交易价款的1％向对方支付违约金。</w:t>
      </w:r>
    </w:p>
    <w:p w14:paraId="6356B578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3.因不可抗力因素导致不能充分履行本合同的，根据不可抗力因素的影响，部分或者全部免除责任。因一方延迟履行合同后发生不可抗力的，不能免除责任。发生不可抗力因素的一方，应当及时通知对方，以减轻可能给对方造成的损失，并应当在合理期限内提供证明。</w:t>
      </w:r>
    </w:p>
    <w:p w14:paraId="0C960DC0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4.如在整个产权交割和权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属变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更中，相关方违反应履行的义务，则按《</w:t>
      </w:r>
      <w:r>
        <w:rPr>
          <w:rFonts w:ascii="宋体" w:hAnsi="宋体" w:eastAsia="宋体" w:cs="宋体"/>
          <w:sz w:val="24"/>
          <w:szCs w:val="24"/>
        </w:rPr>
        <w:t>民法典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》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承担责任。</w:t>
      </w:r>
    </w:p>
    <w:p w14:paraId="133D10EA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5.经转让方、受让方双方协商，也可约定其他赔偿方式。</w:t>
      </w:r>
    </w:p>
    <w:p w14:paraId="5808790F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九、其他</w:t>
      </w:r>
    </w:p>
    <w:p w14:paraId="7B1FE295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上述条款若有未尽事项，由转让方、受让方双方协商后另行约定。</w:t>
      </w:r>
    </w:p>
    <w:p w14:paraId="097C2DDE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十、本合同一式三份，转让方、受让方双方和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  <w:lang w:val="en-US" w:eastAsia="zh-CN"/>
        </w:rPr>
        <w:t>巴林左旗公共资源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交易中心各一份，自双方签字盖章之日起生效。</w:t>
      </w:r>
    </w:p>
    <w:p w14:paraId="096C435B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 </w:t>
      </w:r>
    </w:p>
    <w:p w14:paraId="34FDF939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  <w:shd w:val="clear" w:color="auto" w:fill="FFFFFF"/>
        </w:rPr>
      </w:pPr>
    </w:p>
    <w:p w14:paraId="68BF8383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</w:rPr>
      </w:pPr>
    </w:p>
    <w:p w14:paraId="2C117E65">
      <w:pPr>
        <w:pStyle w:val="5"/>
        <w:widowControl/>
        <w:shd w:val="clear" w:color="auto" w:fill="FFFFFF"/>
        <w:spacing w:beforeAutospacing="0" w:afterAutospacing="0" w:line="360" w:lineRule="auto"/>
        <w:ind w:right="-57" w:firstLine="442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转让方(盖章)：　　　　　　　　　　　　受让方(盖章)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　　</w:t>
      </w:r>
    </w:p>
    <w:p w14:paraId="43CA3DE0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法人代表(签字)：           法人代表(签字)： 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　</w:t>
      </w:r>
    </w:p>
    <w:p w14:paraId="49B84DFE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委托代理人(签字)：         　委托代理人(签字)： 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　　</w:t>
      </w:r>
    </w:p>
    <w:p w14:paraId="473DE9BD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电话：                电话： </w:t>
      </w:r>
    </w:p>
    <w:p w14:paraId="1624950E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  <w:lang w:val="en-US" w:eastAsia="zh-CN"/>
        </w:rPr>
      </w:pPr>
    </w:p>
    <w:p w14:paraId="1573168D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　  </w:t>
      </w:r>
    </w:p>
    <w:p w14:paraId="5ACFA15D">
      <w:pPr>
        <w:pStyle w:val="5"/>
        <w:widowControl/>
        <w:shd w:val="clear" w:color="auto" w:fill="FFFFFF"/>
        <w:spacing w:beforeAutospacing="0" w:afterAutospacing="0" w:line="360" w:lineRule="auto"/>
        <w:ind w:right="500"/>
        <w:rPr>
          <w:rFonts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</w:p>
    <w:p w14:paraId="40C03AF9">
      <w:pPr>
        <w:pStyle w:val="5"/>
        <w:widowControl/>
        <w:shd w:val="clear" w:color="auto" w:fill="FFFFFF"/>
        <w:spacing w:beforeAutospacing="0" w:afterAutospacing="0" w:line="360" w:lineRule="auto"/>
        <w:ind w:right="500" w:firstLine="500" w:firstLineChars="200"/>
        <w:jc w:val="right"/>
        <w:rPr>
          <w:rFonts w:asciiTheme="minorEastAsia" w:hAnsiTheme="minorEastAsia" w:cstheme="minorEastAsia"/>
          <w:color w:val="333333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签订时间：　　　年 　 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月 　 日</w:t>
      </w:r>
    </w:p>
    <w:p w14:paraId="61A97EB9">
      <w:pPr>
        <w:spacing w:line="360" w:lineRule="auto"/>
        <w:rPr>
          <w:sz w:val="24"/>
          <w:szCs w:val="24"/>
        </w:rPr>
      </w:pPr>
    </w:p>
    <w:p w14:paraId="1E03821E">
      <w:pPr>
        <w:pStyle w:val="5"/>
        <w:widowControl/>
        <w:shd w:val="clear" w:color="auto" w:fill="FFFFFF"/>
        <w:spacing w:beforeAutospacing="0" w:afterAutospacing="0" w:line="360" w:lineRule="atLeas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GU0OTczNGMyMWQxNWUzNTRjMzY1NjhhNGY2NjYifQ=="/>
  </w:docVars>
  <w:rsids>
    <w:rsidRoot w:val="64CD0ED6"/>
    <w:rsid w:val="000A42E5"/>
    <w:rsid w:val="000B4A41"/>
    <w:rsid w:val="0010542B"/>
    <w:rsid w:val="001114C9"/>
    <w:rsid w:val="00121E19"/>
    <w:rsid w:val="00137E2E"/>
    <w:rsid w:val="00161288"/>
    <w:rsid w:val="00185587"/>
    <w:rsid w:val="001C2D2B"/>
    <w:rsid w:val="002053D8"/>
    <w:rsid w:val="00231D27"/>
    <w:rsid w:val="002B2AB2"/>
    <w:rsid w:val="00361A5F"/>
    <w:rsid w:val="003F080B"/>
    <w:rsid w:val="00416B2D"/>
    <w:rsid w:val="004263AD"/>
    <w:rsid w:val="0050251C"/>
    <w:rsid w:val="0051271B"/>
    <w:rsid w:val="0056225F"/>
    <w:rsid w:val="00646258"/>
    <w:rsid w:val="00670CFD"/>
    <w:rsid w:val="006F7DB7"/>
    <w:rsid w:val="00715C30"/>
    <w:rsid w:val="007233ED"/>
    <w:rsid w:val="00736818"/>
    <w:rsid w:val="00793E13"/>
    <w:rsid w:val="008A149E"/>
    <w:rsid w:val="008E0D45"/>
    <w:rsid w:val="008F224F"/>
    <w:rsid w:val="00912D7B"/>
    <w:rsid w:val="00994144"/>
    <w:rsid w:val="00A100F8"/>
    <w:rsid w:val="00A5169E"/>
    <w:rsid w:val="00AC6336"/>
    <w:rsid w:val="00AF040C"/>
    <w:rsid w:val="00B13D9B"/>
    <w:rsid w:val="00B61C1D"/>
    <w:rsid w:val="00B730CA"/>
    <w:rsid w:val="00BD095A"/>
    <w:rsid w:val="00C07DCD"/>
    <w:rsid w:val="00C547A2"/>
    <w:rsid w:val="00CF25B2"/>
    <w:rsid w:val="00D93A6E"/>
    <w:rsid w:val="00DA7BBF"/>
    <w:rsid w:val="00DF72A5"/>
    <w:rsid w:val="00E26DDC"/>
    <w:rsid w:val="00E752F0"/>
    <w:rsid w:val="00EF5606"/>
    <w:rsid w:val="00F560AB"/>
    <w:rsid w:val="00F764DC"/>
    <w:rsid w:val="00FE2171"/>
    <w:rsid w:val="00FF0C32"/>
    <w:rsid w:val="079212EF"/>
    <w:rsid w:val="16C149BC"/>
    <w:rsid w:val="17ED5E24"/>
    <w:rsid w:val="185355E4"/>
    <w:rsid w:val="193D116A"/>
    <w:rsid w:val="1D1C78C2"/>
    <w:rsid w:val="1DC306AC"/>
    <w:rsid w:val="2583571F"/>
    <w:rsid w:val="29826EDD"/>
    <w:rsid w:val="331642CC"/>
    <w:rsid w:val="3563630C"/>
    <w:rsid w:val="37B60372"/>
    <w:rsid w:val="3C876968"/>
    <w:rsid w:val="3E366EAC"/>
    <w:rsid w:val="45AB00F7"/>
    <w:rsid w:val="467D4C50"/>
    <w:rsid w:val="4DB6771A"/>
    <w:rsid w:val="50083587"/>
    <w:rsid w:val="5AC34FF8"/>
    <w:rsid w:val="5BE42E47"/>
    <w:rsid w:val="5D333B2E"/>
    <w:rsid w:val="605F6DD9"/>
    <w:rsid w:val="64CD0ED6"/>
    <w:rsid w:val="6BB86867"/>
    <w:rsid w:val="6FCC1381"/>
    <w:rsid w:val="72446B47"/>
    <w:rsid w:val="74D73A9E"/>
    <w:rsid w:val="75AA3FF6"/>
    <w:rsid w:val="78495322"/>
    <w:rsid w:val="791D11EC"/>
    <w:rsid w:val="79651C04"/>
    <w:rsid w:val="79FC520D"/>
    <w:rsid w:val="7FF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qFormat/>
    <w:uiPriority w:val="0"/>
    <w:rPr>
      <w:color w:val="333333"/>
      <w:u w:val="none"/>
    </w:rPr>
  </w:style>
  <w:style w:type="character" w:styleId="10">
    <w:name w:val="Hyperlink"/>
    <w:basedOn w:val="7"/>
    <w:unhideWhenUsed/>
    <w:qFormat/>
    <w:uiPriority w:val="0"/>
    <w:rPr>
      <w:color w:val="333333"/>
      <w:u w:val="none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1329</Words>
  <Characters>1354</Characters>
  <Lines>10</Lines>
  <Paragraphs>2</Paragraphs>
  <TotalTime>148</TotalTime>
  <ScaleCrop>false</ScaleCrop>
  <LinksUpToDate>false</LinksUpToDate>
  <CharactersWithSpaces>1512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2016-08-17T07:26:00Z</dcterms:created>
  <dc:creator>zhk</dc:creator>
  <cp:lastModifiedBy>阿里巴巴与四十大盗大战异形铁血</cp:lastModifiedBy>
  <cp:lastPrinted>2021-07-27T01:15:00Z</cp:lastPrinted>
  <dcterms:modified xsi:type="dcterms:W3CDTF">2026-04-30T01:57:38Z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0E0855C91F2247F381D51B930BFCDA36_13</vt:lpwstr>
  </property>
  <property fmtid="{D5CDD505-2E9C-101B-9397-08002B2CF9AE}" pid="4" name="KSOTemplateDocerSaveRecord">
    <vt:lpwstr>eyJoZGlkIjoiMGQwMGE3MmUyNDk5ZDE2ZjU2ODFmZWYxNzIxOGNjM2MiLCJ1c2VySWQiOiI1NjU2NTgxNzcifQ==</vt:lpwstr>
  </property>
</Properties>
</file>