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4F2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华文中宋" w:hAnsi="华文中宋" w:eastAsia="华文中宋" w:cs="华文中宋"/>
          <w:color w:val="000000"/>
          <w:sz w:val="40"/>
          <w:szCs w:val="40"/>
        </w:rPr>
      </w:pPr>
      <w:r>
        <w:rPr>
          <w:rFonts w:hint="eastAsia" w:ascii="华文中宋" w:hAnsi="华文中宋" w:eastAsia="华文中宋" w:cs="华文中宋"/>
          <w:color w:val="000000"/>
          <w:sz w:val="40"/>
          <w:szCs w:val="40"/>
        </w:rPr>
        <w:t>国有工业用地使用权转让合同</w:t>
      </w:r>
    </w:p>
    <w:p w14:paraId="20E50518">
      <w:pPr>
        <w:rPr>
          <w:rFonts w:hint="eastAsia"/>
        </w:rPr>
      </w:pPr>
    </w:p>
    <w:p w14:paraId="61EE26A9">
      <w:pPr>
        <w:rPr>
          <w:rFonts w:hint="eastAsia"/>
        </w:rPr>
      </w:pPr>
    </w:p>
    <w:p w14:paraId="18DBD3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甲方（转让方）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7CE28D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名称：巴林右旗祥达城市基础设施投资发展有限公司</w:t>
      </w:r>
    </w:p>
    <w:p w14:paraId="7FA400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08BF7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统一社会信用代码：911504237971529597</w:t>
      </w:r>
    </w:p>
    <w:p w14:paraId="603ED90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991D5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法定代表人：庞志刚</w:t>
      </w:r>
    </w:p>
    <w:p w14:paraId="7F0B3F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E7FD4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20"/>
          <w:w w:val="1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住所：</w:t>
      </w:r>
      <w:r>
        <w:rPr>
          <w:rFonts w:hint="eastAsia" w:ascii="仿宋_GB2312" w:hAnsi="仿宋_GB2312" w:eastAsia="仿宋_GB2312" w:cs="仿宋_GB2312"/>
          <w:color w:val="000000"/>
          <w:spacing w:val="-20"/>
          <w:w w:val="100"/>
          <w:kern w:val="0"/>
          <w:sz w:val="32"/>
          <w:szCs w:val="32"/>
          <w:lang w:val="en-US" w:eastAsia="zh-CN" w:bidi="ar"/>
        </w:rPr>
        <w:t>内蒙古自治区赤峰市巴林右旗大板镇大板街罕山路西段南侧</w:t>
      </w:r>
    </w:p>
    <w:p w14:paraId="495C8F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20"/>
          <w:w w:val="100"/>
          <w:kern w:val="0"/>
          <w:sz w:val="32"/>
          <w:szCs w:val="32"/>
          <w:lang w:val="en-US" w:eastAsia="zh-CN" w:bidi="ar"/>
        </w:rPr>
      </w:pPr>
    </w:p>
    <w:p w14:paraId="152AFD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户名：巴林右旗祥达城市基础设施投资发展有限公司</w:t>
      </w:r>
    </w:p>
    <w:p w14:paraId="38CBE1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8C57D9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开户行：中国农业发展银行巴林右旗支行</w:t>
      </w:r>
    </w:p>
    <w:p w14:paraId="7927070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43E29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账号：20315042300100000144061</w:t>
      </w:r>
    </w:p>
    <w:p w14:paraId="11FF10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7E0C3E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联系人：王强</w:t>
      </w:r>
    </w:p>
    <w:p w14:paraId="0EB407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4EC50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联系电话：15560472210 </w:t>
      </w:r>
    </w:p>
    <w:p w14:paraId="750918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C89701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乙方（受让方）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4C7DDC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□企业法人□自然人名称/姓名：</w:t>
      </w:r>
    </w:p>
    <w:p w14:paraId="55642D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FA395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统一社会信用代码/身份证号：</w:t>
      </w:r>
    </w:p>
    <w:p w14:paraId="4EF23F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15EF8C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法定代表人（企业填写）：</w:t>
      </w:r>
    </w:p>
    <w:p w14:paraId="620B2E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9A1564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住所地/住址：</w:t>
      </w:r>
    </w:p>
    <w:p w14:paraId="73461F6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52573B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</w:t>
      </w:r>
    </w:p>
    <w:p w14:paraId="04ED0352">
      <w:pPr>
        <w:spacing w:before="120" w:after="120" w:line="288" w:lineRule="auto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4309F8EE">
      <w:pPr>
        <w:spacing w:before="120" w:after="120" w:line="288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根据《中华人民共和国民法典》《中华人民共和国土地管理法》《中华人民共和国城市房地产管理法》《企业国有资产交易监督管理办法》等法律法规规定，甲方合法持有国有工业建设用地使用权，经国资监管部门审批、产权交易机构公开土地转让交易，甲乙双方本着平等自愿、公平诚信、合规履约的原则，就该宗国有工业用地使用权转让事宜，订立本合同，双方共同信守执行。</w:t>
      </w:r>
    </w:p>
    <w:p w14:paraId="5A5066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heading_1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宗地基本信息</w:t>
      </w:r>
      <w:bookmarkEnd w:id="0"/>
    </w:p>
    <w:p w14:paraId="2F17F4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1、土地坐落：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巴彦他拉路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、益和诺尔街南</w:t>
      </w:r>
    </w:p>
    <w:p w14:paraId="27BB5024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2、土地用途：工业用地</w:t>
      </w:r>
    </w:p>
    <w:p w14:paraId="6A18C541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3、土地面积：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73316㎡（折合109.97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亩）</w:t>
      </w:r>
    </w:p>
    <w:p w14:paraId="6FC5A9F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使用年限：至2053年2月止</w:t>
      </w:r>
    </w:p>
    <w:p w14:paraId="009B46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5、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标的范围：以内蒙古建盈资产评估有限公司内建评报字【2026】第041号《资产评估报告》列明全部资产、宗地现状地上构筑物、附属设施为准；</w:t>
      </w:r>
    </w:p>
    <w:p w14:paraId="53C37024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6、四至范围：东至东侧居民区、南至南侧居民区、西至西侧居民区、北至北侧居民区（详见权属证书及宗地界址附图）</w:t>
      </w:r>
    </w:p>
    <w:p w14:paraId="28E7E16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1" w:name="heading_2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公开交易情况和结果</w:t>
      </w:r>
      <w:bookmarkEnd w:id="1"/>
    </w:p>
    <w:p w14:paraId="5BF5E0B0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1、公开交易方式：公开转让国有土地使用权</w:t>
      </w:r>
    </w:p>
    <w:p w14:paraId="47202EC4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2、成交确认书编号：________________________</w:t>
      </w:r>
    </w:p>
    <w:p w14:paraId="165E302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3、成交总价：人民币大写________________________元（小写：¥__________元），该价款为宗地使用权及地上附着物整体转让包干总价。</w:t>
      </w:r>
    </w:p>
    <w:p w14:paraId="009F54D1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4、交易平台：赤峰市公共资源交易中心</w:t>
      </w:r>
    </w:p>
    <w:p w14:paraId="3A87A1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2" w:name="heading_3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转让价款及支付方式</w:t>
      </w:r>
      <w:bookmarkEnd w:id="2"/>
    </w:p>
    <w:p w14:paraId="0A396CFC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1、本合同项下宗地转让总价款包含土地使用权剩余年限权益、场地现状、地上建（构）筑物及附属设施全部价值，无任何隐形收费、附加费用。</w:t>
      </w:r>
    </w:p>
    <w:p w14:paraId="4CD8622B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2、价款支付方式：</w:t>
      </w:r>
    </w:p>
    <w:p w14:paraId="5E585166">
      <w:pPr>
        <w:spacing w:before="120" w:after="120" w:line="288" w:lineRule="auto"/>
        <w:ind w:left="0" w:firstLine="640" w:firstLineChars="200"/>
        <w:jc w:val="both"/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一次性支付：本合同生效后10个工作日内，乙方一次性付清。</w:t>
      </w:r>
    </w:p>
    <w:p w14:paraId="61F25C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3" w:name="heading_4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税费承担</w:t>
      </w:r>
      <w:bookmarkEnd w:id="3"/>
    </w:p>
    <w:p w14:paraId="350AD6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562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本次土地使用权转让、乙方承担</w:t>
      </w:r>
      <w:r>
        <w:rPr>
          <w:rFonts w:hint="eastAsia" w:ascii="仿宋" w:hAnsi="仿宋" w:eastAsia="仿宋" w:cs="Calibri"/>
          <w:color w:val="auto"/>
          <w:kern w:val="0"/>
          <w:sz w:val="32"/>
          <w:szCs w:val="32"/>
          <w:lang w:val="en-US" w:eastAsia="zh-CN" w:bidi="ar-SA"/>
        </w:rPr>
        <w:t>承担土地过户产生的契税、印花税、测绘费、登记费、土地移交、场地清理、规划整改等包括不限于以上相关税费。</w:t>
      </w:r>
    </w:p>
    <w:p w14:paraId="4CBDFDE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4" w:name="heading_5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土地交付与资料移交</w:t>
      </w:r>
      <w:bookmarkEnd w:id="4"/>
    </w:p>
    <w:p w14:paraId="0BB7614F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甲乙双方完全认可公开交易情况和交易结果，甲方在收到乙方对应节点转让价款后10日内，将本宗土地及地上附着物按现状完整交付乙方，结清转让前所有水电、规费、租金、债务等全部费用，交付后宗地使用权、管控权全部转移至乙方。</w:t>
      </w:r>
    </w:p>
    <w:p w14:paraId="20A6CA8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2、甲方同步向乙方移交全套权属资料，包含但不限于：</w:t>
      </w:r>
    </w:p>
    <w:p w14:paraId="17B898C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（1）《国有土地使用证》/不动产权证书；</w:t>
      </w:r>
    </w:p>
    <w:p w14:paraId="22057004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（2）《建设用地批准书》；</w:t>
      </w:r>
    </w:p>
    <w:p w14:paraId="27E062C2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（3）《建设用地规划许可证》；</w:t>
      </w:r>
    </w:p>
    <w:p w14:paraId="22263396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（4）设计要点批文；</w:t>
      </w:r>
    </w:p>
    <w:p w14:paraId="1C5899E2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（5）回迁补偿安置协议书（如有）；</w:t>
      </w:r>
    </w:p>
    <w:p w14:paraId="622595B1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（6）国资审批、挂牌交易、资产评估等全套备案资料。</w:t>
      </w:r>
    </w:p>
    <w:p w14:paraId="21C7DB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5" w:name="heading_6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权属过户与权利承接</w:t>
      </w:r>
      <w:bookmarkEnd w:id="5"/>
    </w:p>
    <w:p w14:paraId="727B1971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1、甲乙双方一致配合，在价款支付完毕/约定节点后10日内共同向不动产登记部门申请办理土地使用权转移登记手续，将宗地权属变更至乙方名下。</w:t>
      </w:r>
    </w:p>
    <w:p w14:paraId="135100F9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自不动产过户登记完成之日起，本宗地原出让合同、规划条件、产业监管、开竣工要求、闲置土地管控等全部权利义务，由乙方无条件全盘承接，后续所有开发建设、生产经营、履约考核、行政处罚风险均由乙方承担，与甲方无任何关联。</w:t>
      </w:r>
    </w:p>
    <w:p w14:paraId="72F6B4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6" w:name="heading_8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违约责任</w:t>
      </w:r>
      <w:bookmarkEnd w:id="6"/>
    </w:p>
    <w:p w14:paraId="0B0172D5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1、甲方保证宗地权属合法无瑕疵、交易程序合规完整，若因甲方手续不全、权属纠纷、国资程序缺失导致无法过户、合同无法履行的，甲方全额退还乙方已付价款，并赔偿乙方全部经济损失。</w:t>
      </w:r>
    </w:p>
    <w:p w14:paraId="1A410260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2、甲方逾期交付土地、逾期配合过户的，按乙方已付金额每日1‰承担违约金。</w:t>
      </w:r>
    </w:p>
    <w:p w14:paraId="6390A8A4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3、乙方逾期支付转让价款的，按逾期金额每日1‰支付违约金；逾期超30日的，甲方有权单方解除合同、收回土地使用权，追究乙方违约责任。</w:t>
      </w:r>
    </w:p>
    <w:p w14:paraId="778531C0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4、乙方擅自改变土地用途、闲置土地、违规建设的，由乙方自行承担全部行政处罚、整改、闲置处置责任，与甲方无关。</w:t>
      </w:r>
    </w:p>
    <w:p w14:paraId="17CB443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7" w:name="heading_9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合同生效</w:t>
      </w:r>
      <w:bookmarkEnd w:id="7"/>
    </w:p>
    <w:p w14:paraId="54676646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本合同自甲乙双方法定代表人或委托代理人签字、加盖双方公章后生效，未尽事宜可签订补充协议，补充协议与本合同具有同等法律效力。</w:t>
      </w:r>
    </w:p>
    <w:p w14:paraId="2F8694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8" w:name="heading_1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条 合同份数</w:t>
      </w:r>
      <w:bookmarkEnd w:id="8"/>
    </w:p>
    <w:p w14:paraId="4BFDC7FB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本合同一式肆份，甲乙双方各执二份，不动产登记/交易备案部门留存一份，具备同等法律效力。如需多份，可另行增加份数。</w:t>
      </w:r>
    </w:p>
    <w:p w14:paraId="2FE0DB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9" w:name="heading_11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第十条 争议解决</w:t>
      </w:r>
      <w:bookmarkEnd w:id="9"/>
    </w:p>
    <w:p w14:paraId="19E5FA01">
      <w:pPr>
        <w:spacing w:before="120" w:after="120" w:line="288" w:lineRule="auto"/>
        <w:ind w:left="0" w:firstLine="640" w:firstLineChars="200"/>
        <w:jc w:val="both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除法律规定的免责因素外，甲乙双方均应严格旅行各自的职责，并依法承担违约责任，出现纠纷或违约行为，应本着实事求是的原则协商解决；协商不成的，依法向宗地所在地人民法院提起诉讼。</w:t>
      </w:r>
      <w:bookmarkStart w:id="11" w:name="_GoBack"/>
      <w:bookmarkEnd w:id="11"/>
    </w:p>
    <w:p w14:paraId="1A3E1FD0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转让方（甲方）（盖章）：________________________</w:t>
      </w:r>
    </w:p>
    <w:p w14:paraId="5C0A5D0A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法定代表人（签字）：________________________</w:t>
      </w:r>
    </w:p>
    <w:p w14:paraId="4C66C4FD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委托代理人（签字）：________________________</w:t>
      </w:r>
    </w:p>
    <w:p w14:paraId="3C910598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日期：______年______月______日</w:t>
      </w:r>
    </w:p>
    <w:p w14:paraId="5DD2E3A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受让方（乙方）（盖章）：________________________</w:t>
      </w:r>
    </w:p>
    <w:p w14:paraId="09AFA5AE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法定代表人（签字）：________________________</w:t>
      </w:r>
    </w:p>
    <w:p w14:paraId="440431E7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委托代理人（签字）：________________________</w:t>
      </w:r>
    </w:p>
    <w:p w14:paraId="7B5C33E5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日期：______年______月______日</w:t>
      </w:r>
    </w:p>
    <w:p w14:paraId="1FA8B6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10" w:name="heading_14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附件清单</w:t>
      </w:r>
      <w:bookmarkEnd w:id="10"/>
    </w:p>
    <w:p w14:paraId="6129647C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附件1：宗地不动产权证书及界址附图</w:t>
      </w:r>
    </w:p>
    <w:p w14:paraId="54A02998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附件2：公开挂牌成交确认书、交易凭证</w:t>
      </w:r>
    </w:p>
    <w:p w14:paraId="68DAEE4C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附件3：国有资产评估报告、国资审批备案文件</w:t>
      </w:r>
    </w:p>
    <w:p w14:paraId="7152D66D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附件4：建设用地规划、审批相关批文</w:t>
      </w:r>
    </w:p>
    <w:p w14:paraId="4911523E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附件5：宗地现状交接清单</w:t>
      </w:r>
    </w:p>
    <w:p w14:paraId="3D27AEF8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36C1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913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8A7747"/>
    <w:rsid w:val="4E760336"/>
    <w:rsid w:val="62DE5E22"/>
    <w:rsid w:val="666C0BE3"/>
    <w:rsid w:val="6ACD58CD"/>
    <w:rsid w:val="6F9F58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2177</Words>
  <Characters>2472</Characters>
  <TotalTime>37</TotalTime>
  <ScaleCrop>false</ScaleCrop>
  <LinksUpToDate>false</LinksUpToDate>
  <CharactersWithSpaces>2485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2026-07-20T07:36:00Z</dcterms:created>
  <dc:creator>Apache POI</dc:creator>
  <cp:lastModifiedBy>磊磊</cp:lastModifiedBy>
  <cp:lastPrinted>2026-07-20T07:57:00Z</cp:lastPrinted>
  <dcterms:modified xsi:type="dcterms:W3CDTF">2026-07-21T01:09:55Z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{"Label":"1","ContentProducer":"001191110102MACQD9K64010000","ProduceID":"7664510761720827066","ReservedCode1":"","ContentPropagator":"","PropagateID":"","ReservedCode2":""}</vt:lpwstr>
  </property>
  <property fmtid="{D5CDD505-2E9C-101B-9397-08002B2CF9AE}" pid="3" name="KSOTemplateDocerSaveRecord">
    <vt:lpwstr>eyJoZGlkIjoiNzU4ZTEwZWY3YTIxM2JhMzM3ZmJlNzg2NDUwNjJmOTciLCJ1c2VySWQiOiI1OTkxMTMzMTQifQ==</vt:lpwstr>
  </property>
  <property fmtid="{D5CDD505-2E9C-101B-9397-08002B2CF9AE}" pid="4" name="KSOProductBuildVer">
    <vt:lpwstr>2052-12.1.0.26895</vt:lpwstr>
  </property>
  <property fmtid="{D5CDD505-2E9C-101B-9397-08002B2CF9AE}" pid="5" name="ICV">
    <vt:lpwstr>E240BF26FC8A463EBDA2ED63345B04FA_13</vt:lpwstr>
  </property>
</Properties>
</file>