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7BD20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国有</w:t>
      </w:r>
      <w:r>
        <w:rPr>
          <w:rFonts w:hint="eastAsia" w:ascii="黑体" w:hAnsi="黑体" w:eastAsia="黑体" w:cs="黑体"/>
          <w:sz w:val="32"/>
          <w:szCs w:val="32"/>
        </w:rPr>
        <w:t>资产租赁合同</w:t>
      </w:r>
    </w:p>
    <w:p w14:paraId="114606B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出租方（甲方）：克什克腾旗达日罕乌拉苏木人民政府</w:t>
      </w:r>
    </w:p>
    <w:p w14:paraId="2859D1CA">
      <w:pPr>
        <w:rPr>
          <w:rFonts w:hint="eastAsia" w:ascii="仿宋" w:hAnsi="仿宋" w:eastAsia="仿宋" w:cs="仿宋"/>
          <w:sz w:val="32"/>
          <w:szCs w:val="32"/>
          <w:highlight w:val="none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  <w:highlight w:val="none"/>
        </w:rPr>
        <w:t>委托方（丙方）：达根诺日嘎查集体经济组织</w:t>
      </w:r>
    </w:p>
    <w:bookmarkEnd w:id="0"/>
    <w:p w14:paraId="7F20AA0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承租方（乙方）：________________________</w:t>
      </w:r>
    </w:p>
    <w:p w14:paraId="261696B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第一条合同订立法律依据</w:t>
      </w:r>
    </w:p>
    <w:p w14:paraId="696AE6B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本合同依据《中华人民共和国民法典》《事业单位国有资产管理暂行办法》《内蒙古自治区行政事业性国有资产管理办法》（政府令）、《内蒙古自治区本级行政事业单位国有资产出租出借管理办法》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内财资〔2019〕470号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、农村集体“三资”管理相关规定订立，经苏木党委会议研究同意，资产通过公共资源交易平台公开竞价出租，程序合法有效。</w:t>
      </w:r>
    </w:p>
    <w:p w14:paraId="21BF95F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第二条租赁资产概况</w:t>
      </w:r>
    </w:p>
    <w:p w14:paraId="7954F01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本次实行国有资产与嘎查集体资产合并打包出租，因两处建筑相连坐落于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内蒙古赤峰市克什克腾旗</w:t>
      </w:r>
      <w:r>
        <w:rPr>
          <w:rFonts w:hint="eastAsia" w:ascii="仿宋" w:hAnsi="仿宋" w:eastAsia="仿宋" w:cs="仿宋"/>
          <w:sz w:val="32"/>
          <w:szCs w:val="32"/>
        </w:rPr>
        <w:t>达日罕乌拉苏木养老服务中心院内，地理位置无法分割运营：</w:t>
      </w:r>
    </w:p>
    <w:p w14:paraId="4F9007A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1.资产一（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嘎查村</w:t>
      </w:r>
      <w:r>
        <w:rPr>
          <w:rFonts w:hint="eastAsia" w:ascii="仿宋" w:hAnsi="仿宋" w:eastAsia="仿宋" w:cs="仿宋"/>
          <w:sz w:val="32"/>
          <w:szCs w:val="32"/>
        </w:rPr>
        <w:t>集体资产）：《达根诺日嘎查发展新型农村集体经济—旅游民宿项目》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房屋及</w:t>
      </w:r>
      <w:r>
        <w:rPr>
          <w:rFonts w:hint="eastAsia" w:ascii="仿宋" w:hAnsi="仿宋" w:eastAsia="仿宋" w:cs="仿宋"/>
          <w:sz w:val="32"/>
          <w:szCs w:val="32"/>
        </w:rPr>
        <w:t>构筑物，属于达根诺日嘎查村集体经营性资产；</w:t>
      </w:r>
    </w:p>
    <w:p w14:paraId="30ACA60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2.资产二（国有资产）：克什克腾旗区域养老服务中心房屋，为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克什克腾旗达日罕乌拉</w:t>
      </w:r>
      <w:r>
        <w:rPr>
          <w:rFonts w:hint="eastAsia" w:ascii="仿宋" w:hAnsi="仿宋" w:eastAsia="仿宋" w:cs="仿宋"/>
          <w:sz w:val="32"/>
          <w:szCs w:val="32"/>
        </w:rPr>
        <w:t>苏木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人民政府</w:t>
      </w:r>
      <w:r>
        <w:rPr>
          <w:rFonts w:hint="eastAsia" w:ascii="仿宋" w:hAnsi="仿宋" w:eastAsia="仿宋" w:cs="仿宋"/>
          <w:sz w:val="32"/>
          <w:szCs w:val="32"/>
        </w:rPr>
        <w:t>管理使用的行政事业单位国有资产；</w:t>
      </w:r>
    </w:p>
    <w:p w14:paraId="269A1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3.资产地址：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内蒙古自治区赤峰市克什克腾旗达日罕乌拉苏木养老服务中心院内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 w14:paraId="766EA1C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4.资产权属清晰，无抵押、无查封、无债权债务、留置等权利瑕疵，房屋现状完整交付乙方使用。</w:t>
      </w:r>
    </w:p>
    <w:p w14:paraId="224D506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第三条租赁用途</w:t>
      </w:r>
    </w:p>
    <w:p w14:paraId="6FCF170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乙方仅可用于乡村旅游民宿合法经营，严禁改变房屋主体结构，不得从事黄赌毒、非法经营等活动，不得转租、转借他人；如需微调经营布局，必须书面征得甲方同意。</w:t>
      </w:r>
    </w:p>
    <w:p w14:paraId="471BA9B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第四条租赁期限</w:t>
      </w:r>
    </w:p>
    <w:p w14:paraId="6674164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租赁期限定为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租赁合同一年一签</w:t>
      </w:r>
      <w:r>
        <w:rPr>
          <w:rFonts w:hint="eastAsia" w:ascii="仿宋" w:hAnsi="仿宋" w:eastAsia="仿宋" w:cs="仿宋"/>
          <w:sz w:val="32"/>
          <w:szCs w:val="32"/>
        </w:rPr>
        <w:t>，自____年__月__日至____年__月__日止。按照内财资〔2019〕470号文件规定，租期最长不超过5年；合同到期后，乙方在同等条件下享有优先承租权，续租须重新进入公共资源交易平台履行招租程序。</w:t>
      </w:r>
    </w:p>
    <w:p w14:paraId="6E777D4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第五条租金标准、收益分配与缴纳方式</w:t>
      </w:r>
    </w:p>
    <w:p w14:paraId="14E3E932">
      <w:pPr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1.年度总租金以公共资源交易中心公开中标成交价为准，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除去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《达根诺日嘎查发展新型农村集体经济—旅游民宿项目》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固定收益金外，国有资产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租金全额上缴非税账户，执行收支两条线管理；</w:t>
      </w:r>
    </w:p>
    <w:p w14:paraId="2C83899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双方固定约定：每年从总租金中保障达根诺日嘎查集体经济收益人民币53883.06元（大写：伍万叁仟捌佰捌拾叁元零陆分），该款项由甲方在每年租金到账后30个工作日内拨付至嘎查集体三资账户；剩余租金为国有资产收益，按照财政制度管理使用；</w:t>
      </w:r>
    </w:p>
    <w:p w14:paraId="01C1837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3.乙方每年在当年__月__日前一次性足额缴纳全年租金，不允许分期付款；逾期30日未缴清租金，甲方有权单方解除合同，收回房屋。</w:t>
      </w:r>
    </w:p>
    <w:p w14:paraId="2EA4FA2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4.乙方签订合同3日内，缴纳履约保证金（金额为年度租金的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%），合同到期无违约全额退还。</w:t>
      </w:r>
    </w:p>
    <w:p w14:paraId="16F9D93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第六条双方权利义务</w:t>
      </w:r>
    </w:p>
    <w:p w14:paraId="59230E5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（一）甲方权利义务</w:t>
      </w:r>
    </w:p>
    <w:p w14:paraId="571D7F8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1.监督乙方依法合规经营，定期开展资产巡查；</w:t>
      </w:r>
    </w:p>
    <w:p w14:paraId="174F23C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2.按时足额拨付嘎查约定收益；</w:t>
      </w:r>
    </w:p>
    <w:p w14:paraId="1148CE7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3.房屋主体重大结构性维修由甲方负责；日常水电管线、门窗等小型维修由乙方承担。</w:t>
      </w:r>
    </w:p>
    <w:p w14:paraId="70C1D77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（二）乙方权利义务</w:t>
      </w:r>
    </w:p>
    <w:p w14:paraId="0A0A97A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1.自行承担经营期间水电费、物业费、环境卫生、消防安全全部费用；</w:t>
      </w:r>
    </w:p>
    <w:p w14:paraId="77F547C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2.严格落实消防安全规定，配齐消防器材，承担全部安全责任；</w:t>
      </w:r>
    </w:p>
    <w:p w14:paraId="7224618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3.爱护建筑物及附属设施，不得私自拆改墙体；租赁期满，装修固定附着物无偿归资产所有方所有；</w:t>
      </w:r>
    </w:p>
    <w:p w14:paraId="57E8361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4.自觉接受苏木、嘎查、财政部门监督检查。</w:t>
      </w:r>
    </w:p>
    <w:p w14:paraId="399969C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第七条合同解除情形</w:t>
      </w:r>
    </w:p>
    <w:p w14:paraId="6A62DAE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1.乙方拖欠租金超过30日，甲方可直接终止合同，没收保证金；</w:t>
      </w:r>
    </w:p>
    <w:p w14:paraId="5316947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2.乙方擅自转租、改变房屋用途、违法经营，甲方无条件收回房屋；</w:t>
      </w:r>
    </w:p>
    <w:p w14:paraId="2D9D2E0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3.因政府规划调整、政策要求需要收回资产的，甲方提前3个月通知乙方，合同自动终止，互不追究违约责任。</w:t>
      </w:r>
    </w:p>
    <w:p w14:paraId="4B4B46E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第八条资产管理要求</w:t>
      </w:r>
    </w:p>
    <w:p w14:paraId="1387447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国有资产部分严格按照行政事业单位国有资产管理规定执行，集体资产按照农村集体经济“三资”管理制度管理，甲乙双方将合同报旗财政局、苏木经管站备案存档。</w:t>
      </w:r>
    </w:p>
    <w:p w14:paraId="4FBED95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第九条争议解决</w:t>
      </w:r>
    </w:p>
    <w:p w14:paraId="7A2C397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履行合同产生纠纷，双方协商解决；协商不成，向克什克腾旗人民法院提起诉讼。</w:t>
      </w:r>
    </w:p>
    <w:p w14:paraId="2EDFC85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第十条其他约定</w:t>
      </w:r>
    </w:p>
    <w:p w14:paraId="049CD63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1.本合同一式四份：甲方、乙方、达根诺日嘎查、苏木财政经管部门各执一份；</w:t>
      </w:r>
    </w:p>
    <w:p w14:paraId="07FC194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2.本合同自公共资源交易成交确认书出具之日起生效。</w:t>
      </w:r>
    </w:p>
    <w:p w14:paraId="1CB1A96E">
      <w:pPr>
        <w:rPr>
          <w:rFonts w:hint="eastAsia" w:ascii="仿宋" w:hAnsi="仿宋" w:eastAsia="仿宋" w:cs="仿宋"/>
          <w:sz w:val="32"/>
          <w:szCs w:val="32"/>
        </w:rPr>
      </w:pPr>
    </w:p>
    <w:p w14:paraId="248F5706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甲方（盖章）：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</w:rPr>
        <w:t>乙方（盖章）：</w:t>
      </w:r>
    </w:p>
    <w:p w14:paraId="44A35E66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代表人签字：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</w:rPr>
        <w:t>负责人签字：</w:t>
      </w:r>
    </w:p>
    <w:p w14:paraId="291A30E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丙方（嘎查盖章）：</w:t>
      </w:r>
    </w:p>
    <w:p w14:paraId="58FA000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负责人签字：</w:t>
      </w:r>
    </w:p>
    <w:p w14:paraId="21E0ED1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签订日期：2026年__月__日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0452A4"/>
    <w:rsid w:val="2F342AD2"/>
    <w:rsid w:val="5754585C"/>
    <w:rsid w:val="5B3958C3"/>
    <w:rsid w:val="677C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56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2026-07-27T01:40:00Z</dcterms:created>
  <dc:creator>Administrator</dc:creator>
  <cp:lastModifiedBy>Administrator</cp:lastModifiedBy>
  <dcterms:modified xsi:type="dcterms:W3CDTF">2026-07-28T09:35:57Z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2E2BD709BB2B42EDB4D75D8235D37E7F_12</vt:lpwstr>
  </property>
</Properties>
</file>